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pPr>
      <w:r>
        <w:t xml:space="preserve"/>
      </w:r>
    </w:p>
    <w:p>
      <w:pPr>
        <w:spacing w:after="80"/>
        <w:jc w:val="center"/>
      </w:pPr>
      <w:r>
        <w:rPr>
          <w:rFonts w:ascii="Arial" w:cs="Arial" w:eastAsia="Arial" w:hAnsi="Arial"/>
          <w:b/>
          <w:bCs/>
          <w:color w:val="4A4A4A"/>
          <w:sz w:val="26"/>
          <w:szCs w:val="26"/>
        </w:rPr>
        <w:t xml:space="preserve">NORTH, EAST &amp; NORTHEAST INDIA INTER-SCHOOL</w:t>
      </w:r>
    </w:p>
    <w:p>
      <w:pPr>
        <w:spacing w:after="80"/>
        <w:jc w:val="center"/>
      </w:pPr>
      <w:r>
        <w:rPr>
          <w:rFonts w:ascii="Arial" w:cs="Arial" w:eastAsia="Arial" w:hAnsi="Arial"/>
          <w:b/>
          <w:bCs/>
          <w:color w:val="0D3B6E"/>
          <w:sz w:val="40"/>
          <w:szCs w:val="40"/>
        </w:rPr>
        <w:t xml:space="preserve">MODEL UNITED NATIONS 6.0</w:t>
      </w:r>
    </w:p>
    <w:p>
      <w:pPr>
        <w:spacing w:after="200"/>
        <w:jc w:val="center"/>
      </w:pPr>
      <w:r>
        <w:rPr>
          <w:rFonts w:ascii="Arial" w:cs="Arial" w:eastAsia="Arial" w:hAnsi="Arial"/>
          <w:b/>
          <w:bCs/>
          <w:color w:val="C8A020"/>
          <w:sz w:val="28"/>
          <w:szCs w:val="28"/>
        </w:rPr>
        <w:t xml:space="preserve">SUMMER EDITION</w:t>
      </w:r>
    </w:p>
    <w:p>
      <w:pPr>
        <w:pBdr>
          <w:bottom w:val="single" w:color="C8A020" w:sz="12" w:space="6"/>
        </w:pBdr>
        <w:spacing w:after="60"/>
        <w:jc w:val="center"/>
      </w:pPr>
      <w:r>
        <w:rPr>
          <w:sz w:val="24"/>
          <w:szCs w:val="24"/>
        </w:rPr>
        <w:t xml:space="preserve"/>
      </w:r>
    </w:p>
    <w:p>
      <w:pPr>
        <w:spacing w:after="160"/>
      </w:pPr>
      <w:r>
        <w:t xml:space="preserve"/>
      </w:r>
    </w:p>
    <w:p>
      <w:pPr>
        <w:spacing w:after="80"/>
        <w:jc w:val="center"/>
      </w:pPr>
      <w:r>
        <w:rPr>
          <w:rFonts w:ascii="Arial" w:cs="Arial" w:eastAsia="Arial" w:hAnsi="Arial"/>
          <w:b/>
          <w:bCs/>
          <w:color w:val="4A4A4A"/>
          <w:sz w:val="22"/>
          <w:szCs w:val="22"/>
        </w:rPr>
        <w:t xml:space="preserve">COMMITTEE</w:t>
      </w:r>
    </w:p>
    <w:p>
      <w:pPr>
        <w:spacing w:after="200"/>
        <w:jc w:val="center"/>
      </w:pPr>
      <w:r>
        <w:rPr>
          <w:rFonts w:ascii="Arial" w:cs="Arial" w:eastAsia="Arial" w:hAnsi="Arial"/>
          <w:b/>
          <w:bCs/>
          <w:color w:val="0D3B6E"/>
          <w:sz w:val="32"/>
          <w:szCs w:val="32"/>
        </w:rPr>
        <w:t xml:space="preserve">International Telecommunication Union (ITU)</w:t>
      </w:r>
    </w:p>
    <w:p>
      <w:pPr>
        <w:spacing w:after="80"/>
        <w:jc w:val="center"/>
      </w:pPr>
      <w:r>
        <w:rPr>
          <w:rFonts w:ascii="Arial" w:cs="Arial" w:eastAsia="Arial" w:hAnsi="Arial"/>
          <w:b/>
          <w:bCs/>
          <w:color w:val="4A4A4A"/>
          <w:sz w:val="22"/>
          <w:szCs w:val="22"/>
        </w:rPr>
        <w:t xml:space="preserve">AGENDA ITEM</w:t>
      </w:r>
    </w:p>
    <w:p>
      <w:pPr>
        <w:spacing w:after="300"/>
        <w:jc w:val="center"/>
      </w:pPr>
      <w:r>
        <w:rPr>
          <w:rFonts w:ascii="Arial" w:cs="Arial" w:eastAsia="Arial" w:hAnsi="Arial"/>
          <w:b/>
          <w:bCs/>
          <w:color w:val="1A6EA8"/>
          <w:sz w:val="28"/>
          <w:szCs w:val="28"/>
        </w:rPr>
        <w:t xml:space="preserve">Strengthening Global Standards for Secure Digital Infrastructure, Artificial Intelligence Governance, and Universal Connectivity in Emerging Economies</w:t>
      </w:r>
    </w:p>
    <w:p>
      <w:pPr>
        <w:spacing w:after="320"/>
      </w:pPr>
      <w:r>
        <w:t xml:space="preserve"/>
      </w:r>
    </w:p>
    <w:p>
      <w:pPr>
        <w:spacing w:after="60"/>
        <w:jc w:val="center"/>
      </w:pPr>
      <w:r>
        <w:rPr>
          <w:rFonts w:ascii="Arial" w:cs="Arial" w:eastAsia="Arial" w:hAnsi="Arial"/>
          <w:b/>
          <w:bCs/>
          <w:color w:val="0D3B6E"/>
          <w:sz w:val="24"/>
          <w:szCs w:val="24"/>
        </w:rPr>
        <w:t xml:space="preserve">BACKGROUND GUIDE</w:t>
      </w:r>
    </w:p>
    <w:p>
      <w:pPr>
        <w:spacing w:after="60"/>
        <w:jc w:val="center"/>
      </w:pPr>
      <w:r>
        <w:rPr>
          <w:rFonts w:ascii="Arial" w:cs="Arial" w:eastAsia="Arial" w:hAnsi="Arial"/>
          <w:color w:val="4A4A4A"/>
          <w:sz w:val="20"/>
          <w:szCs w:val="20"/>
        </w:rPr>
        <w:t xml:space="preserve">Prepared by Fairgaze Skills Pvt. Ltd.</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Letter from the Dais</w:t>
      </w:r>
    </w:p>
    <w:p>
      <w:pPr>
        <w:spacing w:after="130" w:line="316" w:lineRule="auto"/>
        <w:jc w:val="both"/>
      </w:pPr>
      <w:r>
        <w:rPr>
          <w:rFonts w:ascii="Arial" w:cs="Arial" w:eastAsia="Arial" w:hAnsi="Arial"/>
          <w:color w:val="1C1C1C"/>
          <w:sz w:val="22"/>
          <w:szCs w:val="22"/>
        </w:rPr>
        <w:t xml:space="preserve">Distinguished Delegates,</w:t>
      </w:r>
    </w:p>
    <w:p>
      <w:pPr>
        <w:spacing w:after="80"/>
      </w:pPr>
      <w:r>
        <w:t xml:space="preserve"/>
      </w:r>
    </w:p>
    <w:p>
      <w:pPr>
        <w:spacing w:after="130" w:line="316" w:lineRule="auto"/>
        <w:jc w:val="both"/>
      </w:pPr>
      <w:r>
        <w:rPr>
          <w:rFonts w:ascii="Arial" w:cs="Arial" w:eastAsia="Arial" w:hAnsi="Arial"/>
          <w:color w:val="1C1C1C"/>
          <w:sz w:val="22"/>
          <w:szCs w:val="22"/>
        </w:rPr>
        <w:t xml:space="preserve">Welcome to the International Telecommunication Union (ITU) at the North, East &amp; Northeast India Inter-School Model United Nations 6.0 — Summer Edition. We are honoured to chair this committee as we engage with one of the most pivotal challenges of the twenty-first century: ensuring that the global digital revolution benefits every nation, every community, and every individual — equitably, securely, and intelligently.</w:t>
      </w:r>
    </w:p>
    <w:p>
      <w:pPr>
        <w:spacing w:after="80"/>
      </w:pPr>
      <w:r>
        <w:t xml:space="preserve"/>
      </w:r>
    </w:p>
    <w:p>
      <w:pPr>
        <w:spacing w:after="130" w:line="316" w:lineRule="auto"/>
        <w:jc w:val="both"/>
      </w:pPr>
      <w:r>
        <w:rPr>
          <w:rFonts w:ascii="Arial" w:cs="Arial" w:eastAsia="Arial" w:hAnsi="Arial"/>
          <w:color w:val="1C1C1C"/>
          <w:sz w:val="22"/>
          <w:szCs w:val="22"/>
        </w:rPr>
        <w:t xml:space="preserve">The world stands at a defining crossroads. While approximately 6 billion people — three-quarters of humanity — are now connected to the internet, 2.2 billion remain entirely offline. The overwhelming majority of those offline live in low- and middle-income countries. Meanwhile, artificial intelligence is reshaping economies, governance, healthcare, and warfare at extraordinary speed, yet no universally agreed global framework governs its development and deployment. At the same time, the digital infrastructure upon which modern civilization depends — submarine cables, data centres, 5G networks, satellite systems — faces mounting cybersecurity threats with no binding international standards for protection in many regions.</w:t>
      </w:r>
    </w:p>
    <w:p>
      <w:pPr>
        <w:spacing w:after="80"/>
      </w:pPr>
      <w:r>
        <w:t xml:space="preserve"/>
      </w:r>
    </w:p>
    <w:p>
      <w:pPr>
        <w:spacing w:after="130" w:line="316" w:lineRule="auto"/>
        <w:jc w:val="both"/>
      </w:pPr>
      <w:r>
        <w:rPr>
          <w:rFonts w:ascii="Arial" w:cs="Arial" w:eastAsia="Arial" w:hAnsi="Arial"/>
          <w:color w:val="1C1C1C"/>
          <w:sz w:val="22"/>
          <w:szCs w:val="22"/>
        </w:rPr>
        <w:t xml:space="preserve">The ITU, as the United Nations specialized agency for information and communication technologies, sits at the nexus of all three dimensions of this agenda: standards, security, and access. With 193 member states and over 900 private sector partners, the ITU is the world's oldest international organization and its foremost forum for technical standardization in communications. Yet the challenges before us require more than technical expertise — they demand political will, financial commitment, and a genuine spirit of multilateral solidarity.</w:t>
      </w:r>
    </w:p>
    <w:p>
      <w:pPr>
        <w:spacing w:after="80"/>
      </w:pPr>
      <w:r>
        <w:t xml:space="preserve"/>
      </w:r>
    </w:p>
    <w:p>
      <w:pPr>
        <w:spacing w:after="130" w:line="316" w:lineRule="auto"/>
        <w:jc w:val="both"/>
      </w:pPr>
      <w:r>
        <w:rPr>
          <w:rFonts w:ascii="Arial" w:cs="Arial" w:eastAsia="Arial" w:hAnsi="Arial"/>
          <w:color w:val="1C1C1C"/>
          <w:sz w:val="22"/>
          <w:szCs w:val="22"/>
        </w:rPr>
        <w:t xml:space="preserve">This committee must grapple with questions that cut to the heart of global equity: Who sets the standards that govern AI? How do emerging economies participate in governance structures designed before they had the infrastructure to implement them? How can digital security be achieved without becoming a vector for surveillance and repression? What investment mechanisms can close a $1.6 trillion infrastructure gap?</w:t>
      </w:r>
    </w:p>
    <w:p>
      <w:pPr>
        <w:spacing w:after="80"/>
      </w:pPr>
      <w:r>
        <w:t xml:space="preserve"/>
      </w:r>
    </w:p>
    <w:p>
      <w:pPr>
        <w:spacing w:after="130" w:line="316" w:lineRule="auto"/>
        <w:jc w:val="both"/>
      </w:pPr>
      <w:r>
        <w:rPr>
          <w:rFonts w:ascii="Arial" w:cs="Arial" w:eastAsia="Arial" w:hAnsi="Arial"/>
          <w:color w:val="1C1C1C"/>
          <w:sz w:val="22"/>
          <w:szCs w:val="22"/>
        </w:rPr>
        <w:t xml:space="preserve">We look forward to your rigorous, creative, and solution-oriented engagement. The digital future can and must be universal.</w:t>
      </w:r>
    </w:p>
    <w:p>
      <w:pPr>
        <w:spacing w:after="80"/>
      </w:pPr>
      <w:r>
        <w:t xml:space="preserve"/>
      </w:r>
    </w:p>
    <w:p>
      <w:pPr>
        <w:spacing w:after="130" w:line="316" w:lineRule="auto"/>
        <w:jc w:val="both"/>
      </w:pPr>
      <w:r>
        <w:rPr>
          <w:rFonts w:ascii="Arial" w:cs="Arial" w:eastAsia="Arial" w:hAnsi="Arial"/>
          <w:color w:val="1C1C1C"/>
          <w:sz w:val="22"/>
          <w:szCs w:val="22"/>
        </w:rPr>
        <w:t xml:space="preserve">Yours sincerely,</w:t>
      </w:r>
    </w:p>
    <w:p>
      <w:pPr>
        <w:spacing w:after="130" w:line="316" w:lineRule="auto"/>
        <w:jc w:val="both"/>
      </w:pPr>
      <w:r>
        <w:rPr>
          <w:rFonts w:ascii="Arial" w:cs="Arial" w:eastAsia="Arial" w:hAnsi="Arial"/>
          <w:color w:val="1C1C1C"/>
          <w:sz w:val="22"/>
          <w:szCs w:val="22"/>
        </w:rPr>
        <w:t xml:space="preserve">The Dais, International Telecommunication Union — North, East &amp; Northeast India Inter-School Model United Nations 6.0</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Table of Contents</w:t>
      </w:r>
    </w:p>
    <w:p>
      <w:pPr>
        <w:tabs>
          <w:tab w:val="right" w:pos="8640"/>
        </w:tabs>
        <w:spacing w:after="80"/>
      </w:pPr>
      <w:r>
        <w:rPr>
          <w:rFonts w:ascii="Arial" w:cs="Arial" w:eastAsia="Arial" w:hAnsi="Arial"/>
          <w:color w:val="1C1C1C"/>
          <w:sz w:val="22"/>
          <w:szCs w:val="22"/>
        </w:rPr>
        <w:t xml:space="preserve">1.  Introduction and Background</w:t>
      </w:r>
      <w:r>
        <w:t xml:space="preserve">	</w:t>
      </w:r>
      <w:r>
        <w:rPr>
          <w:rFonts w:ascii="Arial" w:cs="Arial" w:eastAsia="Arial" w:hAnsi="Arial"/>
          <w:b/>
          <w:bCs/>
          <w:color w:val="1A6EA8"/>
          <w:sz w:val="22"/>
          <w:szCs w:val="22"/>
        </w:rPr>
        <w:t xml:space="preserve">4</w:t>
      </w:r>
    </w:p>
    <w:p>
      <w:pPr>
        <w:tabs>
          <w:tab w:val="right" w:pos="8640"/>
        </w:tabs>
        <w:spacing w:after="80"/>
      </w:pPr>
      <w:r>
        <w:rPr>
          <w:rFonts w:ascii="Arial" w:cs="Arial" w:eastAsia="Arial" w:hAnsi="Arial"/>
          <w:color w:val="1C1C1C"/>
          <w:sz w:val="22"/>
          <w:szCs w:val="22"/>
        </w:rPr>
        <w:t xml:space="preserve">2.  Definition of Key Terms</w:t>
      </w:r>
      <w:r>
        <w:t xml:space="preserve">	</w:t>
      </w:r>
      <w:r>
        <w:rPr>
          <w:rFonts w:ascii="Arial" w:cs="Arial" w:eastAsia="Arial" w:hAnsi="Arial"/>
          <w:b/>
          <w:bCs/>
          <w:color w:val="1A6EA8"/>
          <w:sz w:val="22"/>
          <w:szCs w:val="22"/>
        </w:rPr>
        <w:t xml:space="preserve">5</w:t>
      </w:r>
    </w:p>
    <w:p>
      <w:pPr>
        <w:tabs>
          <w:tab w:val="right" w:pos="8640"/>
        </w:tabs>
        <w:spacing w:after="80"/>
      </w:pPr>
      <w:r>
        <w:rPr>
          <w:rFonts w:ascii="Arial" w:cs="Arial" w:eastAsia="Arial" w:hAnsi="Arial"/>
          <w:color w:val="1C1C1C"/>
          <w:sz w:val="22"/>
          <w:szCs w:val="22"/>
        </w:rPr>
        <w:t xml:space="preserve">3.  Historical Overview of the ITU and Digital Governance</w:t>
      </w:r>
      <w:r>
        <w:t xml:space="preserve">	</w:t>
      </w:r>
      <w:r>
        <w:rPr>
          <w:rFonts w:ascii="Arial" w:cs="Arial" w:eastAsia="Arial" w:hAnsi="Arial"/>
          <w:b/>
          <w:bCs/>
          <w:color w:val="1A6EA8"/>
          <w:sz w:val="22"/>
          <w:szCs w:val="22"/>
        </w:rPr>
        <w:t xml:space="preserve">6</w:t>
      </w:r>
    </w:p>
    <w:p>
      <w:pPr>
        <w:tabs>
          <w:tab w:val="right" w:pos="8640"/>
        </w:tabs>
        <w:spacing w:after="80"/>
      </w:pPr>
      <w:r>
        <w:rPr>
          <w:rFonts w:ascii="Arial" w:cs="Arial" w:eastAsia="Arial" w:hAnsi="Arial"/>
          <w:color w:val="1C1C1C"/>
          <w:sz w:val="22"/>
          <w:szCs w:val="22"/>
        </w:rPr>
        <w:t xml:space="preserve">4.  The Current State of Global Digital Infrastructure</w:t>
      </w:r>
      <w:r>
        <w:t xml:space="preserve">	</w:t>
      </w:r>
      <w:r>
        <w:rPr>
          <w:rFonts w:ascii="Arial" w:cs="Arial" w:eastAsia="Arial" w:hAnsi="Arial"/>
          <w:b/>
          <w:bCs/>
          <w:color w:val="1A6EA8"/>
          <w:sz w:val="22"/>
          <w:szCs w:val="22"/>
        </w:rPr>
        <w:t xml:space="preserve">8</w:t>
      </w:r>
    </w:p>
    <w:p>
      <w:pPr>
        <w:tabs>
          <w:tab w:val="right" w:pos="8640"/>
        </w:tabs>
        <w:spacing w:after="80"/>
      </w:pPr>
      <w:r>
        <w:rPr>
          <w:rFonts w:ascii="Arial" w:cs="Arial" w:eastAsia="Arial" w:hAnsi="Arial"/>
          <w:color w:val="1C1C1C"/>
          <w:sz w:val="22"/>
          <w:szCs w:val="22"/>
        </w:rPr>
        <w:t xml:space="preserve">5.  Artificial Intelligence Governance: The Global Challenge</w:t>
      </w:r>
      <w:r>
        <w:t xml:space="preserve">	</w:t>
      </w:r>
      <w:r>
        <w:rPr>
          <w:rFonts w:ascii="Arial" w:cs="Arial" w:eastAsia="Arial" w:hAnsi="Arial"/>
          <w:b/>
          <w:bCs/>
          <w:color w:val="1A6EA8"/>
          <w:sz w:val="22"/>
          <w:szCs w:val="22"/>
        </w:rPr>
        <w:t xml:space="preserve">10</w:t>
      </w:r>
    </w:p>
    <w:p>
      <w:pPr>
        <w:tabs>
          <w:tab w:val="right" w:pos="8640"/>
        </w:tabs>
        <w:spacing w:after="80"/>
      </w:pPr>
      <w:r>
        <w:rPr>
          <w:rFonts w:ascii="Arial" w:cs="Arial" w:eastAsia="Arial" w:hAnsi="Arial"/>
          <w:color w:val="1C1C1C"/>
          <w:sz w:val="22"/>
          <w:szCs w:val="22"/>
        </w:rPr>
        <w:t xml:space="preserve">6.  Cybersecurity Standards and Secure Digital Infrastructure</w:t>
      </w:r>
      <w:r>
        <w:t xml:space="preserve">	</w:t>
      </w:r>
      <w:r>
        <w:rPr>
          <w:rFonts w:ascii="Arial" w:cs="Arial" w:eastAsia="Arial" w:hAnsi="Arial"/>
          <w:b/>
          <w:bCs/>
          <w:color w:val="1A6EA8"/>
          <w:sz w:val="22"/>
          <w:szCs w:val="22"/>
        </w:rPr>
        <w:t xml:space="preserve">12</w:t>
      </w:r>
    </w:p>
    <w:p>
      <w:pPr>
        <w:tabs>
          <w:tab w:val="right" w:pos="8640"/>
        </w:tabs>
        <w:spacing w:after="80"/>
      </w:pPr>
      <w:r>
        <w:rPr>
          <w:rFonts w:ascii="Arial" w:cs="Arial" w:eastAsia="Arial" w:hAnsi="Arial"/>
          <w:color w:val="1C1C1C"/>
          <w:sz w:val="22"/>
          <w:szCs w:val="22"/>
        </w:rPr>
        <w:t xml:space="preserve">7.  Universal Connectivity in Emerging Economies</w:t>
      </w:r>
      <w:r>
        <w:t xml:space="preserve">	</w:t>
      </w:r>
      <w:r>
        <w:rPr>
          <w:rFonts w:ascii="Arial" w:cs="Arial" w:eastAsia="Arial" w:hAnsi="Arial"/>
          <w:b/>
          <w:bCs/>
          <w:color w:val="1A6EA8"/>
          <w:sz w:val="22"/>
          <w:szCs w:val="22"/>
        </w:rPr>
        <w:t xml:space="preserve">14</w:t>
      </w:r>
    </w:p>
    <w:p>
      <w:pPr>
        <w:tabs>
          <w:tab w:val="right" w:pos="8640"/>
        </w:tabs>
        <w:spacing w:after="80"/>
      </w:pPr>
      <w:r>
        <w:rPr>
          <w:rFonts w:ascii="Arial" w:cs="Arial" w:eastAsia="Arial" w:hAnsi="Arial"/>
          <w:color w:val="1C1C1C"/>
          <w:sz w:val="22"/>
          <w:szCs w:val="22"/>
        </w:rPr>
        <w:t xml:space="preserve">8.  Key International Frameworks and ITU Mechanisms</w:t>
      </w:r>
      <w:r>
        <w:t xml:space="preserve">	</w:t>
      </w:r>
      <w:r>
        <w:rPr>
          <w:rFonts w:ascii="Arial" w:cs="Arial" w:eastAsia="Arial" w:hAnsi="Arial"/>
          <w:b/>
          <w:bCs/>
          <w:color w:val="1A6EA8"/>
          <w:sz w:val="22"/>
          <w:szCs w:val="22"/>
        </w:rPr>
        <w:t xml:space="preserve">15</w:t>
      </w:r>
    </w:p>
    <w:p>
      <w:pPr>
        <w:tabs>
          <w:tab w:val="right" w:pos="8640"/>
        </w:tabs>
        <w:spacing w:after="80"/>
      </w:pPr>
      <w:r>
        <w:rPr>
          <w:rFonts w:ascii="Arial" w:cs="Arial" w:eastAsia="Arial" w:hAnsi="Arial"/>
          <w:color w:val="1C1C1C"/>
          <w:sz w:val="22"/>
          <w:szCs w:val="22"/>
        </w:rPr>
        <w:t xml:space="preserve">9.  Country and Bloc Positions</w:t>
      </w:r>
      <w:r>
        <w:t xml:space="preserve">	</w:t>
      </w:r>
      <w:r>
        <w:rPr>
          <w:rFonts w:ascii="Arial" w:cs="Arial" w:eastAsia="Arial" w:hAnsi="Arial"/>
          <w:b/>
          <w:bCs/>
          <w:color w:val="1A6EA8"/>
          <w:sz w:val="22"/>
          <w:szCs w:val="22"/>
        </w:rPr>
        <w:t xml:space="preserve">17</w:t>
      </w:r>
    </w:p>
    <w:p>
      <w:pPr>
        <w:tabs>
          <w:tab w:val="right" w:pos="8640"/>
        </w:tabs>
        <w:spacing w:after="80"/>
      </w:pPr>
      <w:r>
        <w:rPr>
          <w:rFonts w:ascii="Arial" w:cs="Arial" w:eastAsia="Arial" w:hAnsi="Arial"/>
          <w:color w:val="1C1C1C"/>
          <w:sz w:val="22"/>
          <w:szCs w:val="22"/>
        </w:rPr>
        <w:t xml:space="preserve">10.  Core Areas of Debate</w:t>
      </w:r>
      <w:r>
        <w:t xml:space="preserve">	</w:t>
      </w:r>
      <w:r>
        <w:rPr>
          <w:rFonts w:ascii="Arial" w:cs="Arial" w:eastAsia="Arial" w:hAnsi="Arial"/>
          <w:b/>
          <w:bCs/>
          <w:color w:val="1A6EA8"/>
          <w:sz w:val="22"/>
          <w:szCs w:val="22"/>
        </w:rPr>
        <w:t xml:space="preserve">18</w:t>
      </w:r>
    </w:p>
    <w:p>
      <w:pPr>
        <w:tabs>
          <w:tab w:val="right" w:pos="8640"/>
        </w:tabs>
        <w:spacing w:after="80"/>
      </w:pPr>
      <w:r>
        <w:rPr>
          <w:rFonts w:ascii="Arial" w:cs="Arial" w:eastAsia="Arial" w:hAnsi="Arial"/>
          <w:color w:val="1C1C1C"/>
          <w:sz w:val="22"/>
          <w:szCs w:val="22"/>
        </w:rPr>
        <w:t xml:space="preserve">11.  Possible Solutions and Policy Recommendations</w:t>
      </w:r>
      <w:r>
        <w:t xml:space="preserve">	</w:t>
      </w:r>
      <w:r>
        <w:rPr>
          <w:rFonts w:ascii="Arial" w:cs="Arial" w:eastAsia="Arial" w:hAnsi="Arial"/>
          <w:b/>
          <w:bCs/>
          <w:color w:val="1A6EA8"/>
          <w:sz w:val="22"/>
          <w:szCs w:val="22"/>
        </w:rPr>
        <w:t xml:space="preserve">20</w:t>
      </w:r>
    </w:p>
    <w:p>
      <w:pPr>
        <w:tabs>
          <w:tab w:val="right" w:pos="8640"/>
        </w:tabs>
        <w:spacing w:after="80"/>
      </w:pPr>
      <w:r>
        <w:rPr>
          <w:rFonts w:ascii="Arial" w:cs="Arial" w:eastAsia="Arial" w:hAnsi="Arial"/>
          <w:color w:val="1C1C1C"/>
          <w:sz w:val="22"/>
          <w:szCs w:val="22"/>
        </w:rPr>
        <w:t xml:space="preserve">12.  Questions to Consider</w:t>
      </w:r>
      <w:r>
        <w:t xml:space="preserve">	</w:t>
      </w:r>
      <w:r>
        <w:rPr>
          <w:rFonts w:ascii="Arial" w:cs="Arial" w:eastAsia="Arial" w:hAnsi="Arial"/>
          <w:b/>
          <w:bCs/>
          <w:color w:val="1A6EA8"/>
          <w:sz w:val="22"/>
          <w:szCs w:val="22"/>
        </w:rPr>
        <w:t xml:space="preserve">21</w:t>
      </w:r>
    </w:p>
    <w:p>
      <w:pPr>
        <w:tabs>
          <w:tab w:val="right" w:pos="8640"/>
        </w:tabs>
        <w:spacing w:after="80"/>
      </w:pPr>
      <w:r>
        <w:rPr>
          <w:rFonts w:ascii="Arial" w:cs="Arial" w:eastAsia="Arial" w:hAnsi="Arial"/>
          <w:color w:val="1C1C1C"/>
          <w:sz w:val="22"/>
          <w:szCs w:val="22"/>
        </w:rPr>
        <w:t xml:space="preserve">13.  Sources and Further Reading</w:t>
      </w:r>
      <w:r>
        <w:t xml:space="preserve">	</w:t>
      </w:r>
      <w:r>
        <w:rPr>
          <w:rFonts w:ascii="Arial" w:cs="Arial" w:eastAsia="Arial" w:hAnsi="Arial"/>
          <w:b/>
          <w:bCs/>
          <w:color w:val="1A6EA8"/>
          <w:sz w:val="22"/>
          <w:szCs w:val="22"/>
        </w:rPr>
        <w:t xml:space="preserve">22</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1. Introduction and Background</w:t>
      </w:r>
    </w:p>
    <w:p>
      <w:pPr>
        <w:spacing w:after="130" w:line="316" w:lineRule="auto"/>
        <w:jc w:val="both"/>
      </w:pPr>
      <w:r>
        <w:rPr>
          <w:rFonts w:ascii="Arial" w:cs="Arial" w:eastAsia="Arial" w:hAnsi="Arial"/>
          <w:color w:val="1C1C1C"/>
          <w:sz w:val="22"/>
          <w:szCs w:val="22"/>
        </w:rPr>
        <w:t xml:space="preserve">The International Telecommunication Union (ITU), established in 1865 as the International Telegraph Union and today the world’s oldest intergovernmental organization, serves as the United Nations’ specialized agency for information and communication technologies (ICTs). Its mandate encompasses three intersecting mandates: developing global technical standards, allocating spectrum and satellite orbital slots, and promoting equitable access to ICTs across all nations.</w:t>
      </w:r>
    </w:p>
    <w:p>
      <w:pPr>
        <w:spacing w:after="80"/>
      </w:pPr>
      <w:r>
        <w:t xml:space="preserve"/>
      </w:r>
    </w:p>
    <w:p>
      <w:pPr>
        <w:spacing w:after="130" w:line="316" w:lineRule="auto"/>
        <w:jc w:val="both"/>
      </w:pPr>
      <w:r>
        <w:rPr>
          <w:rFonts w:ascii="Arial" w:cs="Arial" w:eastAsia="Arial" w:hAnsi="Arial"/>
          <w:color w:val="1C1C1C"/>
          <w:sz w:val="22"/>
          <w:szCs w:val="22"/>
        </w:rPr>
        <w:t xml:space="preserve">The three pillars of this committee’s agenda item reflect three distinct but deeply interconnected crises in global digital governance:</w:t>
      </w:r>
    </w:p>
    <w:p>
      <w:pPr>
        <w:pStyle w:val="ListParagraph"/>
        <w:numPr>
          <w:ilvl w:val="0"/>
          <w:numId w:val="2"/>
        </w:numPr>
        <w:spacing w:after="80"/>
      </w:pPr>
      <w:r>
        <w:rPr>
          <w:rFonts w:ascii="Arial" w:cs="Arial" w:eastAsia="Arial" w:hAnsi="Arial"/>
          <w:color w:val="1C1C1C"/>
          <w:sz w:val="22"/>
          <w:szCs w:val="22"/>
        </w:rPr>
        <w:t xml:space="preserve">The infrastructure crisis: An estimated USD 1.6 trillion investment gap separates the current state of global digital infrastructure from what is needed to achieve universal connectivity. Africa has only 36 percent internet penetration; in low-income countries, only 27 percent of people are online, compared to 93 percent in high-income countries.</w:t>
      </w:r>
    </w:p>
    <w:p>
      <w:pPr>
        <w:pStyle w:val="ListParagraph"/>
        <w:numPr>
          <w:ilvl w:val="0"/>
          <w:numId w:val="2"/>
        </w:numPr>
        <w:spacing w:after="80"/>
      </w:pPr>
      <w:r>
        <w:rPr>
          <w:rFonts w:ascii="Arial" w:cs="Arial" w:eastAsia="Arial" w:hAnsi="Arial"/>
          <w:color w:val="1C1C1C"/>
          <w:sz w:val="22"/>
          <w:szCs w:val="22"/>
        </w:rPr>
        <w:t xml:space="preserve">The AI governance crisis: Artificial intelligence is being developed and deployed at transformative speed without a coherent global framework. Standards are fragmented across national and regional jurisdictions, leaving emerging economies — which often become sites of AI deployment — with little voice in shaping the rules.</w:t>
      </w:r>
    </w:p>
    <w:p>
      <w:pPr>
        <w:pStyle w:val="ListParagraph"/>
        <w:numPr>
          <w:ilvl w:val="0"/>
          <w:numId w:val="2"/>
        </w:numPr>
        <w:spacing w:after="80"/>
      </w:pPr>
      <w:r>
        <w:rPr>
          <w:rFonts w:ascii="Arial" w:cs="Arial" w:eastAsia="Arial" w:hAnsi="Arial"/>
          <w:color w:val="1C1C1C"/>
          <w:sz w:val="22"/>
          <w:szCs w:val="22"/>
        </w:rPr>
        <w:t xml:space="preserve">The cybersecurity crisis: As the world becomes more connected, it becomes more vulnerable. Between 14 and 35 percent of regional mail services lack proper SSL/TLS encryption. Least Developed Countries (LDCs), Small Island Developing States (SIDS), and Landlocked Developing Countries (LLDCs) face acute cybersecurity capacity gaps — even as they connect their populations and critical infrastructure to global networks.</w:t>
      </w:r>
    </w:p>
    <w:p>
      <w:pPr>
        <w:spacing w:after="80"/>
      </w:pPr>
      <w:r>
        <w:t xml:space="preserve"/>
      </w:r>
    </w:p>
    <w:p>
      <w:pPr>
        <w:spacing w:after="130" w:line="316" w:lineRule="auto"/>
        <w:jc w:val="both"/>
      </w:pPr>
      <w:r>
        <w:rPr>
          <w:rFonts w:ascii="Arial" w:cs="Arial" w:eastAsia="Arial" w:hAnsi="Arial"/>
          <w:color w:val="1C1C1C"/>
          <w:sz w:val="22"/>
          <w:szCs w:val="22"/>
        </w:rPr>
        <w:t xml:space="preserve">These three crises compound each other. Countries that lack secure infrastructure cannot safely connect; countries that are not connected cannot participate in AI governance; and countries without a voice in AI governance will have AI systems designed elsewhere deployed upon them, with standards, values, and risks embedded by others.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EA8" w:sz="1"/>
              <w:left w:val="single" w:color="1A6EA8" w:sz="1"/>
              <w:bottom w:val="single" w:color="1A6EA8" w:sz="1"/>
              <w:right w:val="single" w:color="1A6EA8" w:sz="1"/>
            </w:tcBorders>
            <w:shd w:fill="1A6EA8" w:val="clear"/>
            <w:tcMar>
              <w:top w:type="dxa" w:w="80"/>
              <w:left w:type="dxa" w:w="160"/>
              <w:bottom w:type="dxa" w:w="80"/>
              <w:right w:type="dxa" w:w="160"/>
            </w:tcMar>
          </w:tcPr>
          <w:p>
            <w:r>
              <w:rPr>
                <w:rFonts w:ascii="Arial" w:cs="Arial" w:eastAsia="Arial" w:hAnsi="Arial"/>
                <w:b/>
                <w:bCs/>
                <w:color w:val="FFFFFF"/>
                <w:sz w:val="22"/>
                <w:szCs w:val="22"/>
              </w:rPr>
              <w:t xml:space="preserve">Why This Matters Now</w:t>
            </w:r>
          </w:p>
        </w:tc>
      </w:tr>
      <w:tr>
        <w:tc>
          <w:tcPr>
            <w:tcBorders>
              <w:top w:val="single" w:color="1A6EA8" w:sz="1"/>
              <w:left w:val="single" w:color="1A6EA8" w:sz="1"/>
              <w:bottom w:val="single" w:color="1A6EA8" w:sz="1"/>
              <w:right w:val="single" w:color="1A6EA8" w:sz="1"/>
            </w:tcBorders>
            <w:shd w:fill="D9EAF7" w:val="clear"/>
            <w:tcMar>
              <w:top w:type="dxa" w:w="100"/>
              <w:left w:type="dxa" w:w="160"/>
              <w:bottom w:type="dxa" w:w="100"/>
              <w:right w:type="dxa" w:w="160"/>
            </w:tcMar>
          </w:tcPr>
          <w:p>
            <w:pPr>
              <w:spacing w:after="80"/>
            </w:pPr>
            <w:r>
              <w:rPr>
                <w:rFonts w:ascii="Arial" w:cs="Arial" w:eastAsia="Arial" w:hAnsi="Arial"/>
                <w:color w:val="1C1C1C"/>
                <w:sz w:val="21"/>
                <w:szCs w:val="21"/>
              </w:rPr>
              <w:t xml:space="preserve">•  6 billion people online in 2025 — but 2.2 billion still offline, 96% of them in low- and middle-income countries.</w:t>
            </w:r>
          </w:p>
          <w:p>
            <w:pPr>
              <w:spacing w:after="80"/>
            </w:pPr>
            <w:r>
              <w:rPr>
                <w:rFonts w:ascii="Arial" w:cs="Arial" w:eastAsia="Arial" w:hAnsi="Arial"/>
                <w:color w:val="1C1C1C"/>
                <w:sz w:val="21"/>
                <w:szCs w:val="21"/>
              </w:rPr>
              <w:t xml:space="preserve">•  ITU issued 412 new telecommunication standards (ITU-T Recommendations) in 2024 alone.</w:t>
            </w:r>
          </w:p>
          <w:p>
            <w:pPr>
              <w:spacing w:after="80"/>
            </w:pPr>
            <w:r>
              <w:rPr>
                <w:rFonts w:ascii="Arial" w:cs="Arial" w:eastAsia="Arial" w:hAnsi="Arial"/>
                <w:color w:val="1C1C1C"/>
                <w:sz w:val="21"/>
                <w:szCs w:val="21"/>
              </w:rPr>
              <w:t xml:space="preserve">•  USD 1.6 trillion investment gap in digital infrastructure must be bridged to achieve universal connectivity.</w:t>
            </w:r>
          </w:p>
          <w:p>
            <w:pPr>
              <w:spacing w:after="80"/>
            </w:pPr>
            <w:r>
              <w:rPr>
                <w:rFonts w:ascii="Arial" w:cs="Arial" w:eastAsia="Arial" w:hAnsi="Arial"/>
                <w:color w:val="1C1C1C"/>
                <w:sz w:val="21"/>
                <w:szCs w:val="21"/>
              </w:rPr>
              <w:t xml:space="preserve">•  ITU’s Partner2Connect Coalition has surpassed half its $100 billion pledge goal for connectivity by 2030.</w:t>
            </w:r>
          </w:p>
          <w:p>
            <w:pPr>
              <w:spacing w:after="80"/>
            </w:pPr>
            <w:r>
              <w:rPr>
                <w:rFonts w:ascii="Arial" w:cs="Arial" w:eastAsia="Arial" w:hAnsi="Arial"/>
                <w:color w:val="1C1C1C"/>
                <w:sz w:val="21"/>
                <w:szCs w:val="21"/>
              </w:rPr>
              <w:t xml:space="preserve">•  The UN Global Digital Compact (2024) calls for inclusive AI governance and digital public infrastructure — placing the ITU at the centre of implementation.</w:t>
            </w:r>
          </w:p>
        </w:tc>
      </w:tr>
    </w:tbl>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2. Definition of Key Terms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Term</w:t>
            </w:r>
          </w:p>
        </w:tc>
        <w:tc>
          <w:tcPr>
            <w:tcW w:type="dxa" w:w="656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Definition</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ITU-T</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The Telecommunication Standardization Sector of the ITU; develops internationally agreed standards (called ‘Recommendations’) for telecommunications and ICT, including cybersecurity (X-series), AI/ML (Y.3172), and network protocols.</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ITU-D</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The Telecommunication Development Sector; promotes equitable access to ICTs in developing countries through capacity building, technical assistance, and policy support.</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ITU-R</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The Radiocommunication Sector; manages the international radio-frequency spectrum and satellite orbits.</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ITU-T Recommendation</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 technical standard produced by ITU-T and approved by member states. Unlike ISO/IEC standards, ITU-T Recommendations are freely available. Key examples include X.509 (PKI/cybersecurity) and Y.3172 (ML for future networks).</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Digital Infrastructure</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The physical and virtual systems enabling digital connectivity: fibre-optic cables, submarine cables, satellite networks, data centres, mobile towers, cloud infrastructure, and the internet exchange points (IXPs) that interconnect them.</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Digital Divide</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The gap between those with meaningful access to ICTs and those without. It has three dimensions: access (infrastructure), affordability (cost), and ability (digital skills/literacy).</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Universal Connectivity</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As defined by the ITU, the state in which everyone can access the Internet with high-quality service, at an affordable cost, whenever needed. The ITU Connect 2030 Agenda sets this as a target.</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Meaningful Connectivity</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 higher standard than mere access: connectivity that is fast, reliable, secure, and affordable enough to enable genuine participation in the digital economy and digital society.</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AI Governance</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The set of policies, regulations, standards, ethical principles, and institutional mechanisms that guide the development, deployment, and use of artificial intelligence to ensure it is safe, trustworthy, and aligned with human values.</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Global Digital Compact (GDC)</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Adopted at the UN Summit of the Future in September 2024; a framework for international digital cooperation covering digital inclusion, AI governance, data governance, and internet governance.</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WSIS</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World Summit on the Information Society; a two-phase UN summit (Geneva 2003, Tunis 2005) whose Action Lines guide global ICT policy and development. WSIS+20 review processes are underway.</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Partner2Connect (P2C)</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An ITU-led multi-stakeholder digital coalition targeting USD 100 billion in pledges by 2030 for universal and meaningful connectivity in underserved communities.</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GCI</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Global Cybersecurity Index; an ITU benchmarking tool measuring national cybersecurity commitments across five pillars: Legal, Technical, Organizational, Capacity Development, and Cooperation.</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PKI / X.509</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Public Key Infrastructure; ITU-T Recommendation X.509 defines the framework for digital certificates and public-key cryptography that underpins secure internet communications (HTTPS, TLS/SSL).</w:t>
            </w:r>
          </w:p>
        </w:tc>
      </w:tr>
      <w:tr>
        <w:tc>
          <w:tcPr>
            <w:tcW w:type="dxa" w:w="28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5G</w:t>
            </w:r>
          </w:p>
        </w:tc>
        <w:tc>
          <w:tcPr>
            <w:tcW w:type="dxa" w:w="65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Fifth-generation mobile network technology; a foundation for the AI economy, IoT, smart cities, and precision services. Countries without 5G risk exclusion from next-generation digital paradigms.</w:t>
            </w:r>
          </w:p>
        </w:tc>
      </w:tr>
      <w:tr>
        <w:tc>
          <w:tcPr>
            <w:tcW w:type="dxa" w:w="28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Compute Divide</w:t>
            </w:r>
          </w:p>
        </w:tc>
        <w:tc>
          <w:tcPr>
            <w:tcW w:type="dxa" w:w="65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The emerging gap between nations with access to large-scale AI computing infrastructure (GPUs, cloud HPC) and those without, creating a new layer of AI inequality beyond connectivity.</w:t>
            </w:r>
          </w:p>
        </w:tc>
      </w:tr>
    </w:tbl>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3. Historical Overview of the ITU and Digital Governance</w:t>
      </w:r>
    </w:p>
    <w:p>
      <w:pPr>
        <w:pStyle w:val="Heading2"/>
        <w:spacing w:after="100" w:before="280"/>
      </w:pPr>
      <w:r>
        <w:rPr>
          <w:rFonts w:ascii="Arial" w:cs="Arial" w:eastAsia="Arial" w:hAnsi="Arial"/>
          <w:b/>
          <w:bCs/>
          <w:color w:val="1A6EA8"/>
          <w:sz w:val="26"/>
          <w:szCs w:val="26"/>
        </w:rPr>
        <w:t xml:space="preserve">3.1 Origins and Evolution of the ITU (1865–2000)</w:t>
      </w:r>
    </w:p>
    <w:p>
      <w:pPr>
        <w:spacing w:after="130" w:line="316" w:lineRule="auto"/>
        <w:jc w:val="both"/>
      </w:pPr>
      <w:r>
        <w:rPr>
          <w:rFonts w:ascii="Arial" w:cs="Arial" w:eastAsia="Arial" w:hAnsi="Arial"/>
          <w:color w:val="1C1C1C"/>
          <w:sz w:val="22"/>
          <w:szCs w:val="22"/>
        </w:rPr>
        <w:t xml:space="preserve">The International Telegraph Union was founded in Paris in 1865 by 20 European states, making it the world’s oldest intergovernmental organization. Its original purpose — enabling telegraph messages to cross national borders — foreshadowed the core challenge it still faces: making incompatible national systems talk to each other. Renamed the International Telecommunication Union in 1934, it absorbed both telegraph and telephone standardization. In 1947, it became a specialized agency of the newly formed United Nations.</w:t>
      </w:r>
    </w:p>
    <w:p>
      <w:pPr>
        <w:spacing w:after="130" w:line="316" w:lineRule="auto"/>
        <w:jc w:val="both"/>
      </w:pPr>
      <w:r>
        <w:rPr>
          <w:rFonts w:ascii="Arial" w:cs="Arial" w:eastAsia="Arial" w:hAnsi="Arial"/>
          <w:color w:val="1C1C1C"/>
          <w:sz w:val="22"/>
          <w:szCs w:val="22"/>
        </w:rPr>
        <w:t xml:space="preserve">The post-Cold War era saw the ITU grapple with the privatization of telecommunications markets and the explosion of the internet. The critical tension of this period — between state-centric governance and the open, multi-stakeholder model of the internet — has never been fully resolved and remains central to the debates this committee will address.</w:t>
      </w:r>
    </w:p>
    <w:p>
      <w:pPr>
        <w:pStyle w:val="Heading2"/>
        <w:spacing w:after="100" w:before="280"/>
      </w:pPr>
      <w:r>
        <w:rPr>
          <w:rFonts w:ascii="Arial" w:cs="Arial" w:eastAsia="Arial" w:hAnsi="Arial"/>
          <w:b/>
          <w:bCs/>
          <w:color w:val="1A6EA8"/>
          <w:sz w:val="26"/>
          <w:szCs w:val="26"/>
        </w:rPr>
        <w:t xml:space="preserve">3.2 The World Summit on the Information Society (WSIS, 2003–2005)</w:t>
      </w:r>
    </w:p>
    <w:p>
      <w:pPr>
        <w:spacing w:after="130" w:line="316" w:lineRule="auto"/>
        <w:jc w:val="both"/>
      </w:pPr>
      <w:r>
        <w:rPr>
          <w:rFonts w:ascii="Arial" w:cs="Arial" w:eastAsia="Arial" w:hAnsi="Arial"/>
          <w:color w:val="1C1C1C"/>
          <w:sz w:val="22"/>
          <w:szCs w:val="22"/>
        </w:rPr>
        <w:t xml:space="preserve">The UN convened the World Summit on the Information Society in two phases: Geneva (2003) and Tunis (2005). WSIS produced the Geneva Plan of Action and the Tunis Agenda — foundational documents outlining 11 Action Lines covering infrastructure, cybersecurity, e-government, digital inclusion, and internet governance. The summit established the Internet Governance Forum (IGF) and designated ITU as lead facilitator for several Action Lines, including infrastructure, cybersecurity, and enabling environment. Since 2003, global internet use has grown from 16 percent to approximately 75 percent of the world’s population by 2025 — an extraordinary achievement, but one with enormous gaps remaining.</w:t>
      </w:r>
    </w:p>
    <w:p>
      <w:pPr>
        <w:pStyle w:val="Heading2"/>
        <w:spacing w:after="100" w:before="280"/>
      </w:pPr>
      <w:r>
        <w:rPr>
          <w:rFonts w:ascii="Arial" w:cs="Arial" w:eastAsia="Arial" w:hAnsi="Arial"/>
          <w:b/>
          <w:bCs/>
          <w:color w:val="1A6EA8"/>
          <w:sz w:val="26"/>
          <w:szCs w:val="26"/>
        </w:rPr>
        <w:t xml:space="preserve">3.3 The ITU’s Standardization Ecosystem</w:t>
      </w:r>
    </w:p>
    <w:p>
      <w:pPr>
        <w:spacing w:after="130" w:line="316" w:lineRule="auto"/>
        <w:jc w:val="both"/>
      </w:pPr>
      <w:r>
        <w:rPr>
          <w:rFonts w:ascii="Arial" w:cs="Arial" w:eastAsia="Arial" w:hAnsi="Arial"/>
          <w:color w:val="1C1C1C"/>
          <w:sz w:val="22"/>
          <w:szCs w:val="22"/>
        </w:rPr>
        <w:t xml:space="preserve">The ITU-T (Telecommunication Standardization Sector) is organized into Study Groups that develop Recommendations. By 2024, over 4,000 active ITU-T Recommendations were in force, covering everything from legacy telephony to quantum-safe cryptography, machine learning, and 5G security. In 2024 alone, ITU issued 412 new Recommendations. Notable milestones include:</w:t>
      </w:r>
    </w:p>
    <w:p>
      <w:pPr>
        <w:pStyle w:val="ListParagraph"/>
        <w:numPr>
          <w:ilvl w:val="0"/>
          <w:numId w:val="2"/>
        </w:numPr>
        <w:spacing w:after="80"/>
      </w:pPr>
      <w:r>
        <w:rPr>
          <w:rFonts w:ascii="Arial" w:cs="Arial" w:eastAsia="Arial" w:hAnsi="Arial"/>
          <w:color w:val="1C1C1C"/>
          <w:sz w:val="22"/>
          <w:szCs w:val="22"/>
        </w:rPr>
        <w:t xml:space="preserve">X.509 (1988, last revised 2019): The foundational standard for public key infrastructure and digital certificates, underpinning all secure internet communications.</w:t>
      </w:r>
    </w:p>
    <w:p>
      <w:pPr>
        <w:pStyle w:val="ListParagraph"/>
        <w:numPr>
          <w:ilvl w:val="0"/>
          <w:numId w:val="2"/>
        </w:numPr>
        <w:spacing w:after="80"/>
      </w:pPr>
      <w:r>
        <w:rPr>
          <w:rFonts w:ascii="Arial" w:cs="Arial" w:eastAsia="Arial" w:hAnsi="Arial"/>
          <w:color w:val="1C1C1C"/>
          <w:sz w:val="22"/>
          <w:szCs w:val="22"/>
        </w:rPr>
        <w:t xml:space="preserve">Y.3172 and Y.3173 (2019): Machine learning standards for future networks, among the first ITU-T Recommendations addressing AI.</w:t>
      </w:r>
    </w:p>
    <w:p>
      <w:pPr>
        <w:pStyle w:val="ListParagraph"/>
        <w:numPr>
          <w:ilvl w:val="0"/>
          <w:numId w:val="2"/>
        </w:numPr>
        <w:spacing w:after="80"/>
      </w:pPr>
      <w:r>
        <w:rPr>
          <w:rFonts w:ascii="Arial" w:cs="Arial" w:eastAsia="Arial" w:hAnsi="Arial"/>
          <w:color w:val="1C1C1C"/>
          <w:sz w:val="22"/>
          <w:szCs w:val="22"/>
        </w:rPr>
        <w:t xml:space="preserve">X.1281 (ITU-T, 2024): New standard for APIs enabling interoperability of identity management systems — critical for digital identity in emerging economies.</w:t>
      </w:r>
    </w:p>
    <w:p>
      <w:pPr>
        <w:pStyle w:val="ListParagraph"/>
        <w:numPr>
          <w:ilvl w:val="0"/>
          <w:numId w:val="2"/>
        </w:numPr>
        <w:spacing w:after="80"/>
      </w:pPr>
      <w:r>
        <w:rPr>
          <w:rFonts w:ascii="Arial" w:cs="Arial" w:eastAsia="Arial" w:hAnsi="Arial"/>
          <w:color w:val="1C1C1C"/>
          <w:sz w:val="22"/>
          <w:szCs w:val="22"/>
        </w:rPr>
        <w:t xml:space="preserve">Focus Group on AI-Native Networks (FG-AINN, est. July 2024): Exploring fundamental network architecture changes to embed AI at the network level.</w:t>
      </w:r>
    </w:p>
    <w:p>
      <w:pPr>
        <w:pStyle w:val="Heading2"/>
        <w:spacing w:after="100" w:before="280"/>
      </w:pPr>
      <w:r>
        <w:rPr>
          <w:rFonts w:ascii="Arial" w:cs="Arial" w:eastAsia="Arial" w:hAnsi="Arial"/>
          <w:b/>
          <w:bCs/>
          <w:color w:val="1A6EA8"/>
          <w:sz w:val="26"/>
          <w:szCs w:val="26"/>
        </w:rPr>
        <w:t xml:space="preserve">3.4 The AI for Good Platform and the Shift to AI Governance (2017–Present)</w:t>
      </w:r>
    </w:p>
    <w:p>
      <w:pPr>
        <w:spacing w:after="130" w:line="316" w:lineRule="auto"/>
        <w:jc w:val="both"/>
      </w:pPr>
      <w:r>
        <w:rPr>
          <w:rFonts w:ascii="Arial" w:cs="Arial" w:eastAsia="Arial" w:hAnsi="Arial"/>
          <w:color w:val="1C1C1C"/>
          <w:sz w:val="22"/>
          <w:szCs w:val="22"/>
        </w:rPr>
        <w:t xml:space="preserve">Launched in 2017, ITU’s AI for Good platform has grown into the world’s primary global forum for AI and sustainable development, bringing together 37,000+ active contributors from 180+ countries. It hosts the annual AI for Good Global Summit (2025 edition: July 8–11, Geneva), coordinates multiple Focus Groups on AI applications in health, autonomous driving, and environmental efficiency, and produces the Annual AI Governance Report.</w:t>
      </w:r>
    </w:p>
    <w:p>
      <w:pPr>
        <w:spacing w:after="130" w:line="316" w:lineRule="auto"/>
        <w:jc w:val="both"/>
      </w:pPr>
      <w:r>
        <w:rPr>
          <w:rFonts w:ascii="Arial" w:cs="Arial" w:eastAsia="Arial" w:hAnsi="Arial"/>
          <w:color w:val="1C1C1C"/>
          <w:sz w:val="22"/>
          <w:szCs w:val="22"/>
        </w:rPr>
        <w:t xml:space="preserve">The 2024 AI for Good Summit saw ITU, ISO, and IEC jointly launch the International AI Standards Summit series, with a second edition in Seoul in December 2025. The 2025 AI Standards for Global Impact report — a 170-page landmark document — united 53 UN partners to advance standardization in AI governance, multimedia authenticity, agentic AI security, health, and sustainability.</w:t>
      </w:r>
    </w:p>
    <w:p>
      <w:pPr>
        <w:pStyle w:val="Heading2"/>
        <w:spacing w:after="100" w:before="280"/>
      </w:pPr>
      <w:r>
        <w:rPr>
          <w:rFonts w:ascii="Arial" w:cs="Arial" w:eastAsia="Arial" w:hAnsi="Arial"/>
          <w:b/>
          <w:bCs/>
          <w:color w:val="1A6EA8"/>
          <w:sz w:val="26"/>
          <w:szCs w:val="26"/>
        </w:rPr>
        <w:t xml:space="preserve">3.5 The Global Digital Compact and WTDC-25 (2024–2025)</w:t>
      </w:r>
    </w:p>
    <w:p>
      <w:pPr>
        <w:spacing w:after="130" w:line="316" w:lineRule="auto"/>
        <w:jc w:val="both"/>
      </w:pPr>
      <w:r>
        <w:rPr>
          <w:rFonts w:ascii="Arial" w:cs="Arial" w:eastAsia="Arial" w:hAnsi="Arial"/>
          <w:color w:val="1C1C1C"/>
          <w:sz w:val="22"/>
          <w:szCs w:val="22"/>
        </w:rPr>
        <w:t xml:space="preserve">The adoption of the UN Global Digital Compact (GDC) in September 2024 at the Summit of the Future marked a watershed in multilateral digital governance. The GDC explicitly calls for inclusive AI governance, digital public infrastructure, and universal connectivity, placing ITU at the centre of its implementation architecture. In November 2025, the World Telecommunication Development Conference (WTDC-25), hosted in Baku under the theme “Universal, meaningful, and affordable connectivity for an inclusive and sustainable digital future,” advanced the Connect 2030 Agenda and aligned ITU’s development work with GDC commitments.</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4. The Current State of Global Digital Infrastructure</w:t>
      </w:r>
    </w:p>
    <w:p>
      <w:pPr>
        <w:pStyle w:val="Heading2"/>
        <w:spacing w:after="100" w:before="280"/>
      </w:pPr>
      <w:r>
        <w:rPr>
          <w:rFonts w:ascii="Arial" w:cs="Arial" w:eastAsia="Arial" w:hAnsi="Arial"/>
          <w:b/>
          <w:bCs/>
          <w:color w:val="1A6EA8"/>
          <w:sz w:val="26"/>
          <w:szCs w:val="26"/>
        </w:rPr>
        <w:t xml:space="preserve">4.1 Global Connectivity: Progress and Persistent Gaps</w:t>
      </w:r>
    </w:p>
    <w:p>
      <w:pPr>
        <w:spacing w:after="130" w:line="316" w:lineRule="auto"/>
        <w:jc w:val="both"/>
      </w:pPr>
      <w:r>
        <w:rPr>
          <w:rFonts w:ascii="Arial" w:cs="Arial" w:eastAsia="Arial" w:hAnsi="Arial"/>
          <w:color w:val="1C1C1C"/>
          <w:sz w:val="22"/>
          <w:szCs w:val="22"/>
        </w:rPr>
        <w:t xml:space="preserve">According to ITU’s Facts and Figures 2025 (published November 2025), approximately 6 billion people — about 75 percent of the world’s population — are using the internet in 2025, up from 5.8 billion in 2024. This represents dramatic progress since 2005, when WSIS ended with only 16 percent global connectivity. However, 2.2 billion people remain entirely offline, and the quality and nature of connectivity varies enormously.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Region</w:t>
            </w:r>
          </w:p>
        </w:tc>
        <w:tc>
          <w:tcPr>
            <w:tcW w:type="dxa" w:w="716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Internet Penetration (2025 est.)</w:t>
            </w:r>
          </w:p>
        </w:tc>
        <w:tc>
          <w:tcPr>
            <w:tcW w:type="dxa" w:w="716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Key Challenges</w:t>
            </w:r>
          </w:p>
        </w:tc>
      </w:tr>
      <w:tr>
        <w:tc>
          <w:tcPr>
            <w:tcW w:type="dxa" w:w="22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Europe / CIS</w:t>
            </w:r>
          </w:p>
        </w:tc>
        <w:tc>
          <w:tcPr>
            <w:tcW w:type="dxa" w:w="71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92–93%</w:t>
            </w:r>
          </w:p>
        </w:tc>
        <w:tc>
          <w:tcPr>
            <w:tcW w:type="dxa" w:w="71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Approaching universal connectivity; focus on quality, speed, and inclusion of marginalized groups.</w:t>
            </w:r>
          </w:p>
        </w:tc>
      </w:tr>
      <w:tr>
        <w:tc>
          <w:tcPr>
            <w:tcW w:type="dxa" w:w="22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Asia-Pacific</w:t>
            </w:r>
          </w:p>
        </w:tc>
        <w:tc>
          <w:tcPr>
            <w:tcW w:type="dxa" w:w="71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77% (up 27pp in 6 years)</w:t>
            </w:r>
          </w:p>
        </w:tc>
        <w:tc>
          <w:tcPr>
            <w:tcW w:type="dxa" w:w="71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Rapid growth driven by India, SE Asia; large rural-urban gap; 5G deployment uneven.</w:t>
            </w:r>
          </w:p>
        </w:tc>
      </w:tr>
      <w:tr>
        <w:tc>
          <w:tcPr>
            <w:tcW w:type="dxa" w:w="22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Latin America</w:t>
            </w:r>
          </w:p>
        </w:tc>
        <w:tc>
          <w:tcPr>
            <w:tcW w:type="dxa" w:w="71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~82% urban; large rural gap</w:t>
            </w:r>
          </w:p>
        </w:tc>
        <w:tc>
          <w:tcPr>
            <w:tcW w:type="dxa" w:w="71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Affordability and rural coverage gaps; concentration of infrastructure ownership.</w:t>
            </w:r>
          </w:p>
        </w:tc>
      </w:tr>
      <w:tr>
        <w:tc>
          <w:tcPr>
            <w:tcW w:type="dxa" w:w="22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Africa</w:t>
            </w:r>
          </w:p>
        </w:tc>
        <w:tc>
          <w:tcPr>
            <w:tcW w:type="dxa" w:w="71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36% (38% by end 2024)</w:t>
            </w:r>
          </w:p>
        </w:tc>
        <w:tc>
          <w:tcPr>
            <w:tcW w:type="dxa" w:w="71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Least connected continent; 14% without mobile broadband coverage; 25% in rural areas; large usage gap.</w:t>
            </w:r>
          </w:p>
        </w:tc>
      </w:tr>
      <w:tr>
        <w:tc>
          <w:tcPr>
            <w:tcW w:type="dxa" w:w="22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Low-Income Countries</w:t>
            </w:r>
          </w:p>
        </w:tc>
        <w:tc>
          <w:tcPr>
            <w:tcW w:type="dxa" w:w="71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~27%</w:t>
            </w:r>
          </w:p>
        </w:tc>
        <w:tc>
          <w:tcPr>
            <w:tcW w:type="dxa" w:w="71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Against 93% in high-income countries; systemic underinvestment and affordability barriers.</w:t>
            </w:r>
          </w:p>
        </w:tc>
      </w:tr>
    </w:tbl>
    <w:p>
      <w:pPr>
        <w:spacing w:after="80"/>
      </w:pPr>
      <w:r>
        <w:t xml:space="preserve"/>
      </w:r>
    </w:p>
    <w:p>
      <w:pPr>
        <w:spacing w:after="130" w:line="316" w:lineRule="auto"/>
        <w:jc w:val="both"/>
      </w:pPr>
      <w:r>
        <w:rPr>
          <w:rFonts w:ascii="Arial" w:cs="Arial" w:eastAsia="Arial" w:hAnsi="Arial"/>
          <w:color w:val="1C1C1C"/>
          <w:sz w:val="22"/>
          <w:szCs w:val="22"/>
        </w:rPr>
        <w:t xml:space="preserve">Key dimensions of the digital divide extend beyond raw internet access:</w:t>
      </w:r>
    </w:p>
    <w:p>
      <w:pPr>
        <w:pStyle w:val="ListParagraph"/>
        <w:numPr>
          <w:ilvl w:val="0"/>
          <w:numId w:val="2"/>
        </w:numPr>
        <w:spacing w:after="80"/>
      </w:pPr>
      <w:r>
        <w:rPr>
          <w:rFonts w:ascii="Arial" w:cs="Arial" w:eastAsia="Arial" w:hAnsi="Arial"/>
          <w:color w:val="1C1C1C"/>
          <w:sz w:val="22"/>
          <w:szCs w:val="22"/>
        </w:rPr>
        <w:t xml:space="preserve">Urban-rural gap: 85 percent of urban populations are online globally versus 58 percent in rural areas. In Africa, 57 percent of city dwellers are online compared to only 23 percent of rural residents.</w:t>
      </w:r>
    </w:p>
    <w:p>
      <w:pPr>
        <w:pStyle w:val="ListParagraph"/>
        <w:numPr>
          <w:ilvl w:val="0"/>
          <w:numId w:val="2"/>
        </w:numPr>
        <w:spacing w:after="80"/>
      </w:pPr>
      <w:r>
        <w:rPr>
          <w:rFonts w:ascii="Arial" w:cs="Arial" w:eastAsia="Arial" w:hAnsi="Arial"/>
          <w:color w:val="1C1C1C"/>
          <w:sz w:val="22"/>
          <w:szCs w:val="22"/>
        </w:rPr>
        <w:t xml:space="preserve">Gender gap: In many parts of South Asia and Africa, women are significantly less likely to own a mobile phone or access the internet. The mobile internet gender gap in sub-Saharan Africa fell from 36% in 2022 to 29% in 2024 — progress, but still a vast disparity.</w:t>
      </w:r>
    </w:p>
    <w:p>
      <w:pPr>
        <w:pStyle w:val="ListParagraph"/>
        <w:numPr>
          <w:ilvl w:val="0"/>
          <w:numId w:val="2"/>
        </w:numPr>
        <w:spacing w:after="80"/>
      </w:pPr>
      <w:r>
        <w:rPr>
          <w:rFonts w:ascii="Arial" w:cs="Arial" w:eastAsia="Arial" w:hAnsi="Arial"/>
          <w:color w:val="1C1C1C"/>
          <w:sz w:val="22"/>
          <w:szCs w:val="22"/>
        </w:rPr>
        <w:t xml:space="preserve">Quality gap: Coverage alone does not equal meaningful connectivity. In many African countries, users spend 7–37% of their time on older 2G/3G networks, severely limiting service quality.</w:t>
      </w:r>
    </w:p>
    <w:p>
      <w:pPr>
        <w:pStyle w:val="ListParagraph"/>
        <w:numPr>
          <w:ilvl w:val="0"/>
          <w:numId w:val="2"/>
        </w:numPr>
        <w:spacing w:after="80"/>
      </w:pPr>
      <w:r>
        <w:rPr>
          <w:rFonts w:ascii="Arial" w:cs="Arial" w:eastAsia="Arial" w:hAnsi="Arial"/>
          <w:color w:val="1C1C1C"/>
          <w:sz w:val="22"/>
          <w:szCs w:val="22"/>
        </w:rPr>
        <w:t xml:space="preserve">Skills gap: The ITU’s State of Broadband 2024 report highlights that online learning platforms are expanding rapidly, but digital skills for teachers and educational policies are advancing slowly. Many people use the internet without being able to fully benefit from it or navigate its dangers.</w:t>
      </w:r>
    </w:p>
    <w:p>
      <w:pPr>
        <w:pStyle w:val="Heading2"/>
        <w:spacing w:after="100" w:before="280"/>
      </w:pPr>
      <w:r>
        <w:rPr>
          <w:rFonts w:ascii="Arial" w:cs="Arial" w:eastAsia="Arial" w:hAnsi="Arial"/>
          <w:b/>
          <w:bCs/>
          <w:color w:val="1A6EA8"/>
          <w:sz w:val="26"/>
          <w:szCs w:val="26"/>
        </w:rPr>
        <w:t xml:space="preserve">4.2 The Infrastructure Investment Gap</w:t>
      </w:r>
    </w:p>
    <w:p>
      <w:pPr>
        <w:spacing w:after="130" w:line="316" w:lineRule="auto"/>
        <w:jc w:val="both"/>
      </w:pPr>
      <w:r>
        <w:rPr>
          <w:rFonts w:ascii="Arial" w:cs="Arial" w:eastAsia="Arial" w:hAnsi="Arial"/>
          <w:color w:val="1C1C1C"/>
          <w:sz w:val="22"/>
          <w:szCs w:val="22"/>
        </w:rPr>
        <w:t xml:space="preserve">The ITU’s Digital Infrastructure Investment Initiative (DIII), launched in early 2024 in cooperation with Brazil’s G20 presidency and six development finance institutions, identifies an estimated USD 1.6 trillion investment gap between current infrastructure and what is needed to bring resilient digital connectivity to everyone worldwide. Digital infrastructure includes:</w:t>
      </w:r>
    </w:p>
    <w:p>
      <w:pPr>
        <w:pStyle w:val="ListParagraph"/>
        <w:numPr>
          <w:ilvl w:val="0"/>
          <w:numId w:val="2"/>
        </w:numPr>
        <w:spacing w:after="80"/>
      </w:pPr>
      <w:r>
        <w:rPr>
          <w:rFonts w:ascii="Arial" w:cs="Arial" w:eastAsia="Arial" w:hAnsi="Arial"/>
          <w:color w:val="1C1C1C"/>
          <w:sz w:val="22"/>
          <w:szCs w:val="22"/>
        </w:rPr>
        <w:t xml:space="preserve">Submarine cables: Carrying 99 percent of the world’s international data traffic. A critical vulnerability — just a handful of cable cuts can disrupt entire regions. ITU established an International Advisory Body for Submarine Cable Resilience in 2024 specifically to address this risk.</w:t>
      </w:r>
    </w:p>
    <w:p>
      <w:pPr>
        <w:pStyle w:val="ListParagraph"/>
        <w:numPr>
          <w:ilvl w:val="0"/>
          <w:numId w:val="2"/>
        </w:numPr>
        <w:spacing w:after="80"/>
      </w:pPr>
      <w:r>
        <w:rPr>
          <w:rFonts w:ascii="Arial" w:cs="Arial" w:eastAsia="Arial" w:hAnsi="Arial"/>
          <w:color w:val="1C1C1C"/>
          <w:sz w:val="22"/>
          <w:szCs w:val="22"/>
        </w:rPr>
        <w:t xml:space="preserve">Mobile networks: The primary vector for connectivity in developing countries. An estimated 14 percent of Africa’s population still lacked mobile broadband coverage in 2024.</w:t>
      </w:r>
    </w:p>
    <w:p>
      <w:pPr>
        <w:pStyle w:val="ListParagraph"/>
        <w:numPr>
          <w:ilvl w:val="0"/>
          <w:numId w:val="2"/>
        </w:numPr>
        <w:spacing w:after="80"/>
      </w:pPr>
      <w:r>
        <w:rPr>
          <w:rFonts w:ascii="Arial" w:cs="Arial" w:eastAsia="Arial" w:hAnsi="Arial"/>
          <w:color w:val="1C1C1C"/>
          <w:sz w:val="22"/>
          <w:szCs w:val="22"/>
        </w:rPr>
        <w:t xml:space="preserve">Data centres and cloud: Increasingly, digital participation requires cloud services and computing — not just connectivity. The concentration of data centre capacity in a handful of countries creates dependency and data sovereignty concerns.</w:t>
      </w:r>
    </w:p>
    <w:p>
      <w:pPr>
        <w:pStyle w:val="ListParagraph"/>
        <w:numPr>
          <w:ilvl w:val="0"/>
          <w:numId w:val="2"/>
        </w:numPr>
        <w:spacing w:after="80"/>
      </w:pPr>
      <w:r>
        <w:rPr>
          <w:rFonts w:ascii="Arial" w:cs="Arial" w:eastAsia="Arial" w:hAnsi="Arial"/>
          <w:color w:val="1C1C1C"/>
          <w:sz w:val="22"/>
          <w:szCs w:val="22"/>
        </w:rPr>
        <w:t xml:space="preserve">5G networks: A prerequisite for AI-driven economies, IoT, precision agriculture, and digital health. Countries that fall behind in 5G deployment risk comprehensive exclusion from the next generation of digital paradigms. The current trajectory of internet penetration growth is insufficient to achieve universal connectivity before 2030.</w:t>
      </w:r>
    </w:p>
    <w:p>
      <w:pPr>
        <w:pStyle w:val="Heading2"/>
        <w:spacing w:after="100" w:before="280"/>
      </w:pPr>
      <w:r>
        <w:rPr>
          <w:rFonts w:ascii="Arial" w:cs="Arial" w:eastAsia="Arial" w:hAnsi="Arial"/>
          <w:b/>
          <w:bCs/>
          <w:color w:val="1A6EA8"/>
          <w:sz w:val="26"/>
          <w:szCs w:val="26"/>
        </w:rPr>
        <w:t xml:space="preserve">4.3 Corporate Concentration and Digital Sovereignty</w:t>
      </w:r>
    </w:p>
    <w:p>
      <w:pPr>
        <w:spacing w:after="130" w:line="316" w:lineRule="auto"/>
        <w:jc w:val="both"/>
      </w:pPr>
      <w:r>
        <w:rPr>
          <w:rFonts w:ascii="Arial" w:cs="Arial" w:eastAsia="Arial" w:hAnsi="Arial"/>
          <w:color w:val="1C1C1C"/>
          <w:sz w:val="22"/>
          <w:szCs w:val="22"/>
        </w:rPr>
        <w:t xml:space="preserve">A distinct but related concern is the concentration of digital infrastructure ownership among a small number of large corporations. In Africa, foreign corporations — including Google (Equiano cable) and Meta (2Africa cable) — own undersea cables carrying almost 90 percent of the continent’s global internet traffic. Critics argue these cables encircle rather than integrate Africa, mirror colonial trade routes, and position foreign entities as gatekeepers of the continent’s connectivity while enabling them to sidestep local tax and governance obligations. The concentration of data centre capacity and cloud services raises parallel concerns about data sovereignty, pricing power, and regulatory capture.</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5. Artificial Intelligence Governance: The Global Challenge</w:t>
      </w:r>
    </w:p>
    <w:p>
      <w:pPr>
        <w:pStyle w:val="Heading2"/>
        <w:spacing w:after="100" w:before="280"/>
      </w:pPr>
      <w:r>
        <w:rPr>
          <w:rFonts w:ascii="Arial" w:cs="Arial" w:eastAsia="Arial" w:hAnsi="Arial"/>
          <w:b/>
          <w:bCs/>
          <w:color w:val="1A6EA8"/>
          <w:sz w:val="26"/>
          <w:szCs w:val="26"/>
        </w:rPr>
        <w:t xml:space="preserve">5.1 The AI Governance Gap</w:t>
      </w:r>
    </w:p>
    <w:p>
      <w:pPr>
        <w:spacing w:after="130" w:line="316" w:lineRule="auto"/>
        <w:jc w:val="both"/>
      </w:pPr>
      <w:r>
        <w:rPr>
          <w:rFonts w:ascii="Arial" w:cs="Arial" w:eastAsia="Arial" w:hAnsi="Arial"/>
          <w:color w:val="1C1C1C"/>
          <w:sz w:val="22"/>
          <w:szCs w:val="22"/>
        </w:rPr>
        <w:t xml:space="preserve">Artificial intelligence is already reshaping healthcare, education, finance, agriculture, judicial systems, and military operations in ways that are simultaneously transformative and deeply inequitable. No binding global framework governs AI development, deployment, or use. The landscape is instead characterized by:</w:t>
      </w:r>
    </w:p>
    <w:p>
      <w:pPr>
        <w:pStyle w:val="ListParagraph"/>
        <w:numPr>
          <w:ilvl w:val="0"/>
          <w:numId w:val="2"/>
        </w:numPr>
        <w:spacing w:after="80"/>
      </w:pPr>
      <w:r>
        <w:rPr>
          <w:rFonts w:ascii="Arial" w:cs="Arial" w:eastAsia="Arial" w:hAnsi="Arial"/>
          <w:color w:val="1C1C1C"/>
          <w:sz w:val="22"/>
          <w:szCs w:val="22"/>
        </w:rPr>
        <w:t xml:space="preserve">Fragmented national regulation: The EU AI Act (2024) represents the world’s most comprehensive binding AI regulation, but applies only within the EU. The United States favours voluntary frameworks and sector-specific guidelines. China has enacted AI regulations but with different values and enforcement mechanisms. Most countries in Africa, South Asia, and the Pacific have no specific AI regulatory framework.</w:t>
      </w:r>
    </w:p>
    <w:p>
      <w:pPr>
        <w:pStyle w:val="ListParagraph"/>
        <w:numPr>
          <w:ilvl w:val="0"/>
          <w:numId w:val="2"/>
        </w:numPr>
        <w:spacing w:after="80"/>
      </w:pPr>
      <w:r>
        <w:rPr>
          <w:rFonts w:ascii="Arial" w:cs="Arial" w:eastAsia="Arial" w:hAnsi="Arial"/>
          <w:color w:val="1C1C1C"/>
          <w:sz w:val="22"/>
          <w:szCs w:val="22"/>
        </w:rPr>
        <w:t xml:space="preserve">Standards proliferation without coherence: Hundreds of AI standards are under development globally across ISO/IEC, IEEE, NIST, national bodies, and ITU-T, with limited coordination. The ITU’s International AI Standards Exchange (launched 2024, in partnership with IEEE, IETF, and AI Standards Hub) aims to map and align these efforts.</w:t>
      </w:r>
    </w:p>
    <w:p>
      <w:pPr>
        <w:pStyle w:val="ListParagraph"/>
        <w:numPr>
          <w:ilvl w:val="0"/>
          <w:numId w:val="2"/>
        </w:numPr>
        <w:spacing w:after="80"/>
      </w:pPr>
      <w:r>
        <w:rPr>
          <w:rFonts w:ascii="Arial" w:cs="Arial" w:eastAsia="Arial" w:hAnsi="Arial"/>
          <w:color w:val="1C1C1C"/>
          <w:sz w:val="22"/>
          <w:szCs w:val="22"/>
        </w:rPr>
        <w:t xml:space="preserve">Compute divide: AI capabilities are heavily dependent on access to high-performance computing hardware (GPUs). This hardware is concentrated in a small number of high-income countries. Initiatives in Saudi Arabia, Singapore, and a few others are beginning to address this, but the vast majority of developing countries have no meaningful AI compute capacity.</w:t>
      </w:r>
    </w:p>
    <w:p>
      <w:pPr>
        <w:pStyle w:val="ListParagraph"/>
        <w:numPr>
          <w:ilvl w:val="0"/>
          <w:numId w:val="2"/>
        </w:numPr>
        <w:spacing w:after="80"/>
      </w:pPr>
      <w:r>
        <w:rPr>
          <w:rFonts w:ascii="Arial" w:cs="Arial" w:eastAsia="Arial" w:hAnsi="Arial"/>
          <w:color w:val="1C1C1C"/>
          <w:sz w:val="22"/>
          <w:szCs w:val="22"/>
        </w:rPr>
        <w:t xml:space="preserve">Algorithmic bias and data colonialism: AI systems trained predominantly on data from high-income countries embed the values, languages, and contexts of those countries. When deployed in low-income countries, they can produce discriminatory outcomes, misidentify individuals, or fail to serve local needs. This problem is structural, not accidental.</w:t>
      </w:r>
    </w:p>
    <w:p>
      <w:pPr>
        <w:pStyle w:val="Heading2"/>
        <w:spacing w:after="100" w:before="280"/>
      </w:pPr>
      <w:r>
        <w:rPr>
          <w:rFonts w:ascii="Arial" w:cs="Arial" w:eastAsia="Arial" w:hAnsi="Arial"/>
          <w:b/>
          <w:bCs/>
          <w:color w:val="1A6EA8"/>
          <w:sz w:val="26"/>
          <w:szCs w:val="26"/>
        </w:rPr>
        <w:t xml:space="preserve">5.2 ITU’s Role in AI Governance</w:t>
      </w:r>
    </w:p>
    <w:p>
      <w:pPr>
        <w:spacing w:after="130" w:line="316" w:lineRule="auto"/>
        <w:jc w:val="both"/>
      </w:pPr>
      <w:r>
        <w:rPr>
          <w:rFonts w:ascii="Arial" w:cs="Arial" w:eastAsia="Arial" w:hAnsi="Arial"/>
          <w:color w:val="1C1C1C"/>
          <w:sz w:val="22"/>
          <w:szCs w:val="22"/>
        </w:rPr>
        <w:t xml:space="preserve">The ITU has developed a comprehensive AI governance architecture:</w:t>
      </w:r>
    </w:p>
    <w:p>
      <w:pPr>
        <w:pStyle w:val="ListParagraph"/>
        <w:numPr>
          <w:ilvl w:val="0"/>
          <w:numId w:val="2"/>
        </w:numPr>
        <w:spacing w:after="80"/>
      </w:pPr>
      <w:r>
        <w:rPr>
          <w:rFonts w:ascii="Arial" w:cs="Arial" w:eastAsia="Arial" w:hAnsi="Arial"/>
          <w:color w:val="1C1C1C"/>
          <w:sz w:val="22"/>
          <w:szCs w:val="22"/>
        </w:rPr>
        <w:t xml:space="preserve">AI for Good Global Summit: Annual flagship event; the 2025 Summit (July 8–11, Geneva) partnered with 40+ UN agencies and identified AI applications for SDGs, advancing frameworks on health, agriculture, mobility, environment, and security.</w:t>
      </w:r>
    </w:p>
    <w:p>
      <w:pPr>
        <w:pStyle w:val="ListParagraph"/>
        <w:numPr>
          <w:ilvl w:val="0"/>
          <w:numId w:val="2"/>
        </w:numPr>
        <w:spacing w:after="80"/>
      </w:pPr>
      <w:r>
        <w:rPr>
          <w:rFonts w:ascii="Arial" w:cs="Arial" w:eastAsia="Arial" w:hAnsi="Arial"/>
          <w:color w:val="1C1C1C"/>
          <w:sz w:val="22"/>
          <w:szCs w:val="22"/>
        </w:rPr>
        <w:t xml:space="preserve">ITU-T Study Groups on AI: Study Group 13 (Future Networks), Study Group 16 (Multimedia), and Study Group 17 (Security) are developing AI and ML standards including the Y.3172 and Y.3173 series for ML in networks, and agentic AI security standards covering AI-to-AI (A2A) protocols and agent registries.</w:t>
      </w:r>
    </w:p>
    <w:p>
      <w:pPr>
        <w:pStyle w:val="ListParagraph"/>
        <w:numPr>
          <w:ilvl w:val="0"/>
          <w:numId w:val="2"/>
        </w:numPr>
        <w:spacing w:after="80"/>
      </w:pPr>
      <w:r>
        <w:rPr>
          <w:rFonts w:ascii="Arial" w:cs="Arial" w:eastAsia="Arial" w:hAnsi="Arial"/>
          <w:color w:val="1C1C1C"/>
          <w:sz w:val="22"/>
          <w:szCs w:val="22"/>
        </w:rPr>
        <w:t xml:space="preserve">Focus Groups: The FG-AI4H (AI for Health, joint with WHO), FG-AI4AD (AI for Autonomous and Assisted Driving), FG-AINN (AI-Native Networks, est. July 2024), and FG-AI4EE (Environmental Efficiency) are developing sector-specific standards and governance frameworks.</w:t>
      </w:r>
    </w:p>
    <w:p>
      <w:pPr>
        <w:pStyle w:val="ListParagraph"/>
        <w:numPr>
          <w:ilvl w:val="0"/>
          <w:numId w:val="2"/>
        </w:numPr>
        <w:spacing w:after="80"/>
      </w:pPr>
      <w:r>
        <w:rPr>
          <w:rFonts w:ascii="Arial" w:cs="Arial" w:eastAsia="Arial" w:hAnsi="Arial"/>
          <w:color w:val="1C1C1C"/>
          <w:sz w:val="22"/>
          <w:szCs w:val="22"/>
        </w:rPr>
        <w:t xml:space="preserve">AI Governance Dialogues: Annual high-level policy dialogues on AI governance (2024 and 2025 editions), informing the GDC implementation and the UN’s Independent International Scientific Panel on AI.</w:t>
      </w:r>
    </w:p>
    <w:p>
      <w:pPr>
        <w:pStyle w:val="ListParagraph"/>
        <w:numPr>
          <w:ilvl w:val="0"/>
          <w:numId w:val="2"/>
        </w:numPr>
        <w:spacing w:after="80"/>
      </w:pPr>
      <w:r>
        <w:rPr>
          <w:rFonts w:ascii="Arial" w:cs="Arial" w:eastAsia="Arial" w:hAnsi="Arial"/>
          <w:color w:val="1C1C1C"/>
          <w:sz w:val="22"/>
          <w:szCs w:val="22"/>
        </w:rPr>
        <w:t xml:space="preserve">AI Skills Coalition: Launched in 2025 with 60+ partners and 80+ training resources, targeting 10,000 trained policymakers, regulators, and innovators globally. ITU’s Giga Initiative (with UNICEF) added AI skills in Africa partnerships in September 2025.</w:t>
      </w:r>
    </w:p>
    <w:p>
      <w:pPr>
        <w:pStyle w:val="Heading2"/>
        <w:spacing w:after="100" w:before="280"/>
      </w:pPr>
      <w:r>
        <w:rPr>
          <w:rFonts w:ascii="Arial" w:cs="Arial" w:eastAsia="Arial" w:hAnsi="Arial"/>
          <w:b/>
          <w:bCs/>
          <w:color w:val="1A6EA8"/>
          <w:sz w:val="26"/>
          <w:szCs w:val="26"/>
        </w:rPr>
        <w:t xml:space="preserve">5.3 The Annual AI Governance Report 2025</w:t>
      </w:r>
    </w:p>
    <w:p>
      <w:pPr>
        <w:spacing w:after="130" w:line="316" w:lineRule="auto"/>
        <w:jc w:val="both"/>
      </w:pPr>
      <w:r>
        <w:rPr>
          <w:rFonts w:ascii="Arial" w:cs="Arial" w:eastAsia="Arial" w:hAnsi="Arial"/>
          <w:color w:val="1C1C1C"/>
          <w:sz w:val="22"/>
          <w:szCs w:val="22"/>
        </w:rPr>
        <w:t xml:space="preserve">ITU’s Annual AI Governance Report 2025: Steering the Future of AI identifies seven key themes in the evolving AI landscape: autonomous agent deployment; AI verification systems; socioeconomic transformation; international coordination mechanisms; technical standards; AI infrastructure requirements; and AI risk management. The report highlights the Prevent-Detect-Respond (PDR) framework as a practical model for tackling AI-related harms including misinformation, and introduces the AI &amp; Multimedia Authenticity Standards (AMAS) initiative — a global collaboration of IEC, ISO, ITU, C2PA, Microsoft, and others — mapping 35+ standards on content provenance, watermarking, and rights management.</w:t>
      </w:r>
    </w:p>
    <w:p>
      <w:pPr>
        <w:pStyle w:val="Heading2"/>
        <w:spacing w:after="100" w:before="280"/>
      </w:pPr>
      <w:r>
        <w:rPr>
          <w:rFonts w:ascii="Arial" w:cs="Arial" w:eastAsia="Arial" w:hAnsi="Arial"/>
          <w:b/>
          <w:bCs/>
          <w:color w:val="1A6EA8"/>
          <w:sz w:val="26"/>
          <w:szCs w:val="26"/>
        </w:rPr>
        <w:t xml:space="preserve">5.4 Emerging Economies and AI Governance</w:t>
      </w:r>
    </w:p>
    <w:p>
      <w:pPr>
        <w:spacing w:after="130" w:line="316" w:lineRule="auto"/>
        <w:jc w:val="both"/>
      </w:pPr>
      <w:r>
        <w:rPr>
          <w:rFonts w:ascii="Arial" w:cs="Arial" w:eastAsia="Arial" w:hAnsi="Arial"/>
          <w:color w:val="1C1C1C"/>
          <w:sz w:val="22"/>
          <w:szCs w:val="22"/>
        </w:rPr>
        <w:t xml:space="preserve">The most acute governance gap concerns emerging economies. At the ITU’s September 2023 AI Landscape Survey, responses were received from 69 member states — 12 developed and 57 developing, including 10 Least Developed Countries. The survey revealed that while many developing countries have digital transformation agendas, few have AI-specific policies, regulatory frameworks, or technical capacity to engage meaningfully in standards processes. This means that global AI standards are predominantly shaped by high-income countries and large technology corporations, while developing economies — which will increasingly be subject to AI systems — have little influence over the rules governing those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A7E8C" w:sz="1"/>
              <w:left w:val="single" w:color="0A7E8C" w:sz="1"/>
              <w:bottom w:val="single" w:color="0A7E8C" w:sz="1"/>
              <w:right w:val="single" w:color="0A7E8C" w:sz="1"/>
            </w:tcBorders>
            <w:shd w:fill="0A7E8C" w:val="clear"/>
            <w:tcMar>
              <w:top w:type="dxa" w:w="80"/>
              <w:left w:type="dxa" w:w="160"/>
              <w:bottom w:type="dxa" w:w="80"/>
              <w:right w:type="dxa" w:w="160"/>
            </w:tcMar>
          </w:tcPr>
          <w:p>
            <w:r>
              <w:rPr>
                <w:rFonts w:ascii="Arial" w:cs="Arial" w:eastAsia="Arial" w:hAnsi="Arial"/>
                <w:b/>
                <w:bCs/>
                <w:color w:val="FFFFFF"/>
                <w:sz w:val="22"/>
                <w:szCs w:val="22"/>
              </w:rPr>
              <w:t xml:space="preserve">The Compute Divide and AI Equity</w:t>
            </w:r>
          </w:p>
        </w:tc>
      </w:tr>
      <w:tr>
        <w:tc>
          <w:tcPr>
            <w:tcBorders>
              <w:top w:val="single" w:color="0A7E8C" w:sz="1"/>
              <w:left w:val="single" w:color="0A7E8C" w:sz="1"/>
              <w:bottom w:val="single" w:color="0A7E8C" w:sz="1"/>
              <w:right w:val="single" w:color="0A7E8C" w:sz="1"/>
            </w:tcBorders>
            <w:shd w:fill="D4F0F3" w:val="clear"/>
            <w:tcMar>
              <w:top w:type="dxa" w:w="100"/>
              <w:left w:type="dxa" w:w="160"/>
              <w:bottom w:type="dxa" w:w="100"/>
              <w:right w:type="dxa" w:w="160"/>
            </w:tcMar>
          </w:tcPr>
          <w:p>
            <w:pPr>
              <w:spacing w:after="80"/>
            </w:pPr>
            <w:r>
              <w:rPr>
                <w:rFonts w:ascii="Arial" w:cs="Arial" w:eastAsia="Arial" w:hAnsi="Arial"/>
                <w:color w:val="1C1C1C"/>
                <w:sz w:val="21"/>
                <w:szCs w:val="21"/>
              </w:rPr>
              <w:t xml:space="preserve">Access to AI is not merely a software or policy question — it is fundamentally a hardware and infrastructure question.</w:t>
            </w:r>
          </w:p>
          <w:p>
            <w:pPr>
              <w:spacing w:after="80"/>
            </w:pPr>
            <w:r>
              <w:rPr>
                <w:rFonts w:ascii="Arial" w:cs="Arial" w:eastAsia="Arial" w:hAnsi="Arial"/>
                <w:color w:val="1C1C1C"/>
                <w:sz w:val="21"/>
                <w:szCs w:val="21"/>
              </w:rPr>
              <w:t xml:space="preserve">Training large AI models requires massive GPU clusters costing hundreds of millions of dollars — beyond the reach of most developing countries.</w:t>
            </w:r>
          </w:p>
          <w:p>
            <w:pPr>
              <w:spacing w:after="80"/>
            </w:pPr>
            <w:r>
              <w:rPr>
                <w:rFonts w:ascii="Arial" w:cs="Arial" w:eastAsia="Arial" w:hAnsi="Arial"/>
                <w:color w:val="1C1C1C"/>
                <w:sz w:val="21"/>
                <w:szCs w:val="21"/>
              </w:rPr>
              <w:t xml:space="preserve">Cloud-based AI APIs offer partial access, but create dependency on foreign infrastructure and raise data sovereignty concerns.</w:t>
            </w:r>
          </w:p>
          <w:p>
            <w:pPr>
              <w:spacing w:after="80"/>
            </w:pPr>
            <w:r>
              <w:rPr>
                <w:rFonts w:ascii="Arial" w:cs="Arial" w:eastAsia="Arial" w:hAnsi="Arial"/>
                <w:color w:val="1C1C1C"/>
                <w:sz w:val="21"/>
                <w:szCs w:val="21"/>
              </w:rPr>
              <w:t xml:space="preserve">ITU’s 2025 AI Governance Report identifies addressing the compute divide as a strategic priority for inclusive AI governance.</w:t>
            </w:r>
          </w:p>
          <w:p>
            <w:pPr>
              <w:spacing w:after="80"/>
            </w:pPr>
            <w:r>
              <w:rPr>
                <w:rFonts w:ascii="Arial" w:cs="Arial" w:eastAsia="Arial" w:hAnsi="Arial"/>
                <w:color w:val="1C1C1C"/>
                <w:sz w:val="21"/>
                <w:szCs w:val="21"/>
              </w:rPr>
              <w:t xml:space="preserve">The UN GDC calls on member states to pool AI expertise and infrastructure across borders — but implementation mechanisms remain nascent.</w:t>
            </w:r>
          </w:p>
        </w:tc>
      </w:tr>
    </w:tbl>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6. Cybersecurity Standards and Secure Digital Infrastructure</w:t>
      </w:r>
    </w:p>
    <w:p>
      <w:pPr>
        <w:pStyle w:val="Heading2"/>
        <w:spacing w:after="100" w:before="280"/>
      </w:pPr>
      <w:r>
        <w:rPr>
          <w:rFonts w:ascii="Arial" w:cs="Arial" w:eastAsia="Arial" w:hAnsi="Arial"/>
          <w:b/>
          <w:bCs/>
          <w:color w:val="1A6EA8"/>
          <w:sz w:val="26"/>
          <w:szCs w:val="26"/>
        </w:rPr>
        <w:t xml:space="preserve">6.1 The Scale of the Cybersecurity Challenge</w:t>
      </w:r>
    </w:p>
    <w:p>
      <w:pPr>
        <w:spacing w:after="130" w:line="316" w:lineRule="auto"/>
        <w:jc w:val="both"/>
      </w:pPr>
      <w:r>
        <w:rPr>
          <w:rFonts w:ascii="Arial" w:cs="Arial" w:eastAsia="Arial" w:hAnsi="Arial"/>
          <w:color w:val="1C1C1C"/>
          <w:sz w:val="22"/>
          <w:szCs w:val="22"/>
        </w:rPr>
        <w:t xml:space="preserve">As digital infrastructure expands, its attack surface grows. An estimated 68 percent of organizations globally suffered a cyberattack in 2023. Telecom networks, now classified as critical national infrastructure in most jurisdictions, are vectors for state-sponsored espionage, ransomware, supply-chain attacks, and disinformation campaigns. The stakes could not be higher: submarine cable cuts, attacks on power grid control systems, and compromise of financial clearing systems could cause cascading societal harm.</w:t>
      </w:r>
    </w:p>
    <w:p>
      <w:pPr>
        <w:spacing w:after="130" w:line="316" w:lineRule="auto"/>
        <w:jc w:val="both"/>
      </w:pPr>
      <w:r>
        <w:rPr>
          <w:rFonts w:ascii="Arial" w:cs="Arial" w:eastAsia="Arial" w:hAnsi="Arial"/>
          <w:color w:val="1C1C1C"/>
          <w:sz w:val="22"/>
          <w:szCs w:val="22"/>
        </w:rPr>
        <w:t xml:space="preserve">The challenge is unevenly distributed. High-income countries with mature cybersecurity ecosystems can absorb and respond to attacks that would devastate a least-developed country with no incident response capacity. Meanwhile, the connectivity gap is closing — meaning millions of people in the most vulnerable countries are coming online into an insecure digital environment without the protections that more developed countries take for granted.</w:t>
      </w:r>
    </w:p>
    <w:p>
      <w:pPr>
        <w:pStyle w:val="Heading2"/>
        <w:spacing w:after="100" w:before="280"/>
      </w:pPr>
      <w:r>
        <w:rPr>
          <w:rFonts w:ascii="Arial" w:cs="Arial" w:eastAsia="Arial" w:hAnsi="Arial"/>
          <w:b/>
          <w:bCs/>
          <w:color w:val="1A6EA8"/>
          <w:sz w:val="26"/>
          <w:szCs w:val="26"/>
        </w:rPr>
        <w:t xml:space="preserve">6.2 ITU’s Cybersecurity Architecture</w:t>
      </w:r>
    </w:p>
    <w:p>
      <w:pPr>
        <w:spacing w:after="130" w:line="316" w:lineRule="auto"/>
        <w:jc w:val="both"/>
      </w:pPr>
      <w:r>
        <w:rPr>
          <w:rFonts w:ascii="Arial" w:cs="Arial" w:eastAsia="Arial" w:hAnsi="Arial"/>
          <w:color w:val="1C1C1C"/>
          <w:sz w:val="22"/>
          <w:szCs w:val="22"/>
        </w:rPr>
        <w:t xml:space="preserve">ITU-T Study Group 17 (SG17) is the principal global body for telecommunication and information security standards. It has developed nearly 300 cybersecurity Recommendations under the X-series, covering:</w:t>
      </w:r>
    </w:p>
    <w:p>
      <w:pPr>
        <w:pStyle w:val="ListParagraph"/>
        <w:numPr>
          <w:ilvl w:val="0"/>
          <w:numId w:val="2"/>
        </w:numPr>
        <w:spacing w:after="80"/>
      </w:pPr>
      <w:r>
        <w:rPr>
          <w:rFonts w:ascii="Arial" w:cs="Arial" w:eastAsia="Arial" w:hAnsi="Arial"/>
          <w:color w:val="1C1C1C"/>
          <w:sz w:val="22"/>
          <w:szCs w:val="22"/>
        </w:rPr>
        <w:t xml:space="preserve">X.509 (PKI and digital certificates): The foundational standard for secure internet communications, first published in 1988 and last revised in 2019. X.509 certificates underpin HTTPS, TLS, and all major secure communication protocols.</w:t>
      </w:r>
    </w:p>
    <w:p>
      <w:pPr>
        <w:pStyle w:val="ListParagraph"/>
        <w:numPr>
          <w:ilvl w:val="0"/>
          <w:numId w:val="2"/>
        </w:numPr>
        <w:spacing w:after="80"/>
      </w:pPr>
      <w:r>
        <w:rPr>
          <w:rFonts w:ascii="Arial" w:cs="Arial" w:eastAsia="Arial" w:hAnsi="Arial"/>
          <w:color w:val="1C1C1C"/>
          <w:sz w:val="22"/>
          <w:szCs w:val="22"/>
        </w:rPr>
        <w:t xml:space="preserve">Signalling security: Since 2016, ITU-T SG11 has worked on securing signalling-level protocols to prevent OTP interception, call spoofing, number fraud, and robocalls — attacks that disproportionately target users in developing countries.</w:t>
      </w:r>
    </w:p>
    <w:p>
      <w:pPr>
        <w:pStyle w:val="ListParagraph"/>
        <w:numPr>
          <w:ilvl w:val="0"/>
          <w:numId w:val="2"/>
        </w:numPr>
        <w:spacing w:after="80"/>
      </w:pPr>
      <w:r>
        <w:rPr>
          <w:rFonts w:ascii="Arial" w:cs="Arial" w:eastAsia="Arial" w:hAnsi="Arial"/>
          <w:color w:val="1C1C1C"/>
          <w:sz w:val="22"/>
          <w:szCs w:val="22"/>
        </w:rPr>
        <w:t xml:space="preserve">5G cybersecurity (Q3/2): A dedicated study question on securing 5G telecommunications networks, developed in coordination with industry groups including GSMA.</w:t>
      </w:r>
    </w:p>
    <w:p>
      <w:pPr>
        <w:pStyle w:val="ListParagraph"/>
        <w:numPr>
          <w:ilvl w:val="0"/>
          <w:numId w:val="2"/>
        </w:numPr>
        <w:spacing w:after="80"/>
      </w:pPr>
      <w:r>
        <w:rPr>
          <w:rFonts w:ascii="Arial" w:cs="Arial" w:eastAsia="Arial" w:hAnsi="Arial"/>
          <w:color w:val="1C1C1C"/>
          <w:sz w:val="22"/>
          <w:szCs w:val="22"/>
        </w:rPr>
        <w:t xml:space="preserve">Quantum-safe communications: ITU-T SG17 is developing hybrid quantum key distribution (QKD) and post-quantum cryptography (PQC) standards for future-proofing communication security against quantum computing threats.</w:t>
      </w:r>
    </w:p>
    <w:p>
      <w:pPr>
        <w:pStyle w:val="ListParagraph"/>
        <w:numPr>
          <w:ilvl w:val="0"/>
          <w:numId w:val="2"/>
        </w:numPr>
        <w:spacing w:after="80"/>
      </w:pPr>
      <w:r>
        <w:rPr>
          <w:rFonts w:ascii="Arial" w:cs="Arial" w:eastAsia="Arial" w:hAnsi="Arial"/>
          <w:color w:val="1C1C1C"/>
          <w:sz w:val="22"/>
          <w:szCs w:val="22"/>
        </w:rPr>
        <w:t xml:space="preserve">Digital identity: X.1281 (2024) — the new standard for APIs enabling interoperability of identity management systems — supports secure digital identity infrastructure, particularly relevant for digital public infrastructure in developing countries.</w:t>
      </w:r>
    </w:p>
    <w:p>
      <w:pPr>
        <w:pStyle w:val="Heading2"/>
        <w:spacing w:after="100" w:before="280"/>
      </w:pPr>
      <w:r>
        <w:rPr>
          <w:rFonts w:ascii="Arial" w:cs="Arial" w:eastAsia="Arial" w:hAnsi="Arial"/>
          <w:b/>
          <w:bCs/>
          <w:color w:val="1A6EA8"/>
          <w:sz w:val="26"/>
          <w:szCs w:val="26"/>
        </w:rPr>
        <w:t xml:space="preserve">6.3 The Global Cybersecurity Index 2024</w:t>
      </w:r>
    </w:p>
    <w:p>
      <w:pPr>
        <w:spacing w:after="130" w:line="316" w:lineRule="auto"/>
        <w:jc w:val="both"/>
      </w:pPr>
      <w:r>
        <w:rPr>
          <w:rFonts w:ascii="Arial" w:cs="Arial" w:eastAsia="Arial" w:hAnsi="Arial"/>
          <w:color w:val="1C1C1C"/>
          <w:sz w:val="22"/>
          <w:szCs w:val="22"/>
        </w:rPr>
        <w:t xml:space="preserve">The fifth edition of ITU’s Global Cybersecurity Index (GCI 2024) — its most comprehensive yet — measures national cybersecurity commitments across five pillars: Legal, Technical, Organizational, Capacity Development, and Cooperation. Key findings include:</w:t>
      </w:r>
    </w:p>
    <w:p>
      <w:pPr>
        <w:pStyle w:val="ListParagraph"/>
        <w:numPr>
          <w:ilvl w:val="0"/>
          <w:numId w:val="2"/>
        </w:numPr>
        <w:spacing w:after="80"/>
      </w:pPr>
      <w:r>
        <w:rPr>
          <w:rFonts w:ascii="Arial" w:cs="Arial" w:eastAsia="Arial" w:hAnsi="Arial"/>
          <w:color w:val="1C1C1C"/>
          <w:sz w:val="22"/>
          <w:szCs w:val="22"/>
        </w:rPr>
        <w:t xml:space="preserve">Record engagement: All 193 ITU member states submitted data, with each submission independently verified — a milestone in global accountability.</w:t>
      </w:r>
    </w:p>
    <w:p>
      <w:pPr>
        <w:pStyle w:val="ListParagraph"/>
        <w:numPr>
          <w:ilvl w:val="0"/>
          <w:numId w:val="2"/>
        </w:numPr>
        <w:spacing w:after="80"/>
      </w:pPr>
      <w:r>
        <w:rPr>
          <w:rFonts w:ascii="Arial" w:cs="Arial" w:eastAsia="Arial" w:hAnsi="Arial"/>
          <w:color w:val="1C1C1C"/>
          <w:sz w:val="22"/>
          <w:szCs w:val="22"/>
        </w:rPr>
        <w:t xml:space="preserve">Progress in foundations: Improvements in foundational legislation, incident response efforts, national cybersecurity plans, training, and international partnerships.</w:t>
      </w:r>
    </w:p>
    <w:p>
      <w:pPr>
        <w:pStyle w:val="ListParagraph"/>
        <w:numPr>
          <w:ilvl w:val="0"/>
          <w:numId w:val="2"/>
        </w:numPr>
        <w:spacing w:after="80"/>
      </w:pPr>
      <w:r>
        <w:rPr>
          <w:rFonts w:ascii="Arial" w:cs="Arial" w:eastAsia="Arial" w:hAnsi="Arial"/>
          <w:color w:val="1C1C1C"/>
          <w:sz w:val="22"/>
          <w:szCs w:val="22"/>
        </w:rPr>
        <w:t xml:space="preserve">Persistent gaps: The gaps between Least Developed Countries, Small Island Developing States, Landlocked Developing Countries, and developed countries persist — and in some dimensions are widening.</w:t>
      </w:r>
    </w:p>
    <w:p>
      <w:pPr>
        <w:pStyle w:val="ListParagraph"/>
        <w:numPr>
          <w:ilvl w:val="0"/>
          <w:numId w:val="2"/>
        </w:numPr>
        <w:spacing w:after="80"/>
      </w:pPr>
      <w:r>
        <w:rPr>
          <w:rFonts w:ascii="Arial" w:cs="Arial" w:eastAsia="Arial" w:hAnsi="Arial"/>
          <w:color w:val="1C1C1C"/>
          <w:sz w:val="22"/>
          <w:szCs w:val="22"/>
        </w:rPr>
        <w:t xml:space="preserve">Insecure mail protocols: Between 14 and 35 percent of regional mail services are not using SSL/TLS protocols or are using weak/insecure versions. Only 1–4.6 percent of mail services use the fully recommended implementation.</w:t>
      </w:r>
    </w:p>
    <w:p>
      <w:pPr>
        <w:pStyle w:val="ListParagraph"/>
        <w:numPr>
          <w:ilvl w:val="0"/>
          <w:numId w:val="2"/>
        </w:numPr>
        <w:spacing w:after="80"/>
      </w:pPr>
      <w:r>
        <w:rPr>
          <w:rFonts w:ascii="Arial" w:cs="Arial" w:eastAsia="Arial" w:hAnsi="Arial"/>
          <w:color w:val="1C1C1C"/>
          <w:sz w:val="22"/>
          <w:szCs w:val="22"/>
        </w:rPr>
        <w:t xml:space="preserve">CIRT gaps: Computer Incident Response Teams (CIRTs) are critical for responding to cyberattacks. Many low-income countries lack functioning CIRTs, trained staff, equipment, or sustainable funding.</w:t>
      </w:r>
    </w:p>
    <w:p>
      <w:pPr>
        <w:pStyle w:val="Heading2"/>
        <w:spacing w:after="100" w:before="280"/>
      </w:pPr>
      <w:r>
        <w:rPr>
          <w:rFonts w:ascii="Arial" w:cs="Arial" w:eastAsia="Arial" w:hAnsi="Arial"/>
          <w:b/>
          <w:bCs/>
          <w:color w:val="1A6EA8"/>
          <w:sz w:val="26"/>
          <w:szCs w:val="26"/>
        </w:rPr>
        <w:t xml:space="preserve">6.4 The Submarine Cable Vulnerability</w:t>
      </w:r>
    </w:p>
    <w:p>
      <w:pPr>
        <w:spacing w:after="130" w:line="316" w:lineRule="auto"/>
        <w:jc w:val="both"/>
      </w:pPr>
      <w:r>
        <w:rPr>
          <w:rFonts w:ascii="Arial" w:cs="Arial" w:eastAsia="Arial" w:hAnsi="Arial"/>
          <w:color w:val="1C1C1C"/>
          <w:sz w:val="22"/>
          <w:szCs w:val="22"/>
        </w:rPr>
        <w:t xml:space="preserve">Submarine cables carry 99 percent of the world’s international data traffic. Their security and resilience is therefore a matter of global strategic importance. In recognition of this, ITU established the International Advisory Body for Submarine Cable Resilience in 2024. Threats include physical damage (from anchors, earthquakes, and deliberate sabotage), landing-station attacks, and the growing concerns about surveillance capabilities built into cable infrastructure by politically sensitive vendors.</w:t>
      </w:r>
    </w:p>
    <w:p>
      <w:pPr>
        <w:pStyle w:val="Heading2"/>
        <w:spacing w:after="100" w:before="280"/>
      </w:pPr>
      <w:r>
        <w:rPr>
          <w:rFonts w:ascii="Arial" w:cs="Arial" w:eastAsia="Arial" w:hAnsi="Arial"/>
          <w:b/>
          <w:bCs/>
          <w:color w:val="1A6EA8"/>
          <w:sz w:val="26"/>
          <w:szCs w:val="26"/>
        </w:rPr>
        <w:t xml:space="preserve">6.5 Digital Sovereignty vs. Open Standards</w:t>
      </w:r>
    </w:p>
    <w:p>
      <w:pPr>
        <w:spacing w:after="130" w:line="316" w:lineRule="auto"/>
        <w:jc w:val="both"/>
      </w:pPr>
      <w:r>
        <w:rPr>
          <w:rFonts w:ascii="Arial" w:cs="Arial" w:eastAsia="Arial" w:hAnsi="Arial"/>
          <w:color w:val="1C1C1C"/>
          <w:sz w:val="22"/>
          <w:szCs w:val="22"/>
        </w:rPr>
        <w:t xml:space="preserve">A critical tension in cybersecurity governance is between the open, interoperable model of global standards (exemplified by ITU-T Recommendations, freely available to all) and the assertion of digital sovereignty by states seeking to control their information environment. Some states — notably China and Russia — have advocated for national or regional alternatives to global internet standards (e.g. Russia’s RUNET, China’s separate AI and internet governance standards). This creates fragmentation risks: a “splinternet” in which incompatible digital ecosystems coexist, potentially locking users in developing countries into dependency on the standards choices of their dominant trading partners.</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7. Universal Connectivity in Emerging Economies</w:t>
      </w:r>
    </w:p>
    <w:p>
      <w:pPr>
        <w:pStyle w:val="Heading2"/>
        <w:spacing w:after="100" w:before="280"/>
      </w:pPr>
      <w:r>
        <w:rPr>
          <w:rFonts w:ascii="Arial" w:cs="Arial" w:eastAsia="Arial" w:hAnsi="Arial"/>
          <w:b/>
          <w:bCs/>
          <w:color w:val="1A6EA8"/>
          <w:sz w:val="26"/>
          <w:szCs w:val="26"/>
        </w:rPr>
        <w:t xml:space="preserve">7.1 The Connect 2030 Agenda</w:t>
      </w:r>
    </w:p>
    <w:p>
      <w:pPr>
        <w:spacing w:after="130" w:line="316" w:lineRule="auto"/>
        <w:jc w:val="both"/>
      </w:pPr>
      <w:r>
        <w:rPr>
          <w:rFonts w:ascii="Arial" w:cs="Arial" w:eastAsia="Arial" w:hAnsi="Arial"/>
          <w:color w:val="1C1C1C"/>
          <w:sz w:val="22"/>
          <w:szCs w:val="22"/>
        </w:rPr>
        <w:t xml:space="preserve">The ITU’s Connect 2030 Agenda (updated via Resolution 200 Rev. Bucharest, 2022) sets five goals: Growth, Inclusiveness, Sustainability, Innovation, and Partnership. It targets universal and meaningful connectivity, with an explicit focus on underserved communities in developing countries. WTDC-25 (Baku, November 2025) advanced the Connect 2030 Agenda, endorsing new Regional Initiatives and Study Group questions targeting SDGs — particularly digital inclusion and socio-economic development.</w:t>
      </w:r>
    </w:p>
    <w:p>
      <w:pPr>
        <w:pStyle w:val="Heading2"/>
        <w:spacing w:after="100" w:before="280"/>
      </w:pPr>
      <w:r>
        <w:rPr>
          <w:rFonts w:ascii="Arial" w:cs="Arial" w:eastAsia="Arial" w:hAnsi="Arial"/>
          <w:b/>
          <w:bCs/>
          <w:color w:val="1A6EA8"/>
          <w:sz w:val="26"/>
          <w:szCs w:val="26"/>
        </w:rPr>
        <w:t xml:space="preserve">7.2 Partner2Connect Digital Coalition</w:t>
      </w:r>
    </w:p>
    <w:p>
      <w:pPr>
        <w:spacing w:after="130" w:line="316" w:lineRule="auto"/>
        <w:jc w:val="both"/>
      </w:pPr>
      <w:r>
        <w:rPr>
          <w:rFonts w:ascii="Arial" w:cs="Arial" w:eastAsia="Arial" w:hAnsi="Arial"/>
          <w:color w:val="1C1C1C"/>
          <w:sz w:val="22"/>
          <w:szCs w:val="22"/>
        </w:rPr>
        <w:t xml:space="preserve">The Partner2Connect (P2C) Digital Coalition — launched by ITU — is a multistakeholder mechanism that mobilizes pledges from governments, the private sector, and civil society for universal and meaningful connectivity. As of the WSIS+20 High-Level Event 2024, P2C has surpassed half of its USD 100 billion goal by 2030. The Coalition connects pledges to implementation through the Digital Infrastructure Investment Catalyser, which channelled investment alongside the G20 Digital Infrastructure Investment Initiative (DIII), launched with six development finance institutions under Brazil’s 2024 G20 presidency and continuing under South Africa’s 2025 presidency.</w:t>
      </w:r>
    </w:p>
    <w:p>
      <w:pPr>
        <w:pStyle w:val="Heading2"/>
        <w:spacing w:after="100" w:before="280"/>
      </w:pPr>
      <w:r>
        <w:rPr>
          <w:rFonts w:ascii="Arial" w:cs="Arial" w:eastAsia="Arial" w:hAnsi="Arial"/>
          <w:b/>
          <w:bCs/>
          <w:color w:val="1A6EA8"/>
          <w:sz w:val="26"/>
          <w:szCs w:val="26"/>
        </w:rPr>
        <w:t xml:space="preserve">7.3 Giga Initiative</w:t>
      </w:r>
    </w:p>
    <w:p>
      <w:pPr>
        <w:spacing w:after="130" w:line="316" w:lineRule="auto"/>
        <w:jc w:val="both"/>
      </w:pPr>
      <w:r>
        <w:rPr>
          <w:rFonts w:ascii="Arial" w:cs="Arial" w:eastAsia="Arial" w:hAnsi="Arial"/>
          <w:color w:val="1C1C1C"/>
          <w:sz w:val="22"/>
          <w:szCs w:val="22"/>
        </w:rPr>
        <w:t xml:space="preserve">The Giga Initiative — jointly run by ITU and UNICEF — aims to connect every school to the internet. As of 2025, the initiative has mapped over 1 million schools globally and is connecting schools across Africa, Asia-Pacific, and Latin America. September 2025 partnerships expanded the initiative to include AI skills training components in Africa, reflecting the growing recognition that connectivity alone is insufficient — meaningful connectivity requires skills.</w:t>
      </w:r>
    </w:p>
    <w:p>
      <w:pPr>
        <w:pStyle w:val="Heading2"/>
        <w:spacing w:after="100" w:before="280"/>
      </w:pPr>
      <w:r>
        <w:rPr>
          <w:rFonts w:ascii="Arial" w:cs="Arial" w:eastAsia="Arial" w:hAnsi="Arial"/>
          <w:b/>
          <w:bCs/>
          <w:color w:val="1A6EA8"/>
          <w:sz w:val="26"/>
          <w:szCs w:val="26"/>
        </w:rPr>
        <w:t xml:space="preserve">7.4 Barriers to Universal Connectivity</w:t>
      </w:r>
    </w:p>
    <w:p>
      <w:pPr>
        <w:spacing w:after="130" w:line="316" w:lineRule="auto"/>
        <w:jc w:val="both"/>
      </w:pPr>
      <w:r>
        <w:rPr>
          <w:rFonts w:ascii="Arial" w:cs="Arial" w:eastAsia="Arial" w:hAnsi="Arial"/>
          <w:color w:val="1C1C1C"/>
          <w:sz w:val="22"/>
          <w:szCs w:val="22"/>
        </w:rPr>
        <w:t xml:space="preserve">Despite substantial progress, multiple structural barriers persist:</w:t>
      </w:r>
    </w:p>
    <w:p>
      <w:pPr>
        <w:pStyle w:val="ListParagraph"/>
        <w:numPr>
          <w:ilvl w:val="0"/>
          <w:numId w:val="2"/>
        </w:numPr>
        <w:spacing w:after="80"/>
      </w:pPr>
      <w:r>
        <w:rPr>
          <w:rFonts w:ascii="Arial" w:cs="Arial" w:eastAsia="Arial" w:hAnsi="Arial"/>
          <w:color w:val="1C1C1C"/>
          <w:sz w:val="22"/>
          <w:szCs w:val="22"/>
        </w:rPr>
        <w:t xml:space="preserve">Affordability: Mobile broadband prices relative to income remain prohibitive in many developing countries. A basic data plan can consume a significant share of a low-income household’s monthly budget.</w:t>
      </w:r>
    </w:p>
    <w:p>
      <w:pPr>
        <w:pStyle w:val="ListParagraph"/>
        <w:numPr>
          <w:ilvl w:val="0"/>
          <w:numId w:val="2"/>
        </w:numPr>
        <w:spacing w:after="80"/>
      </w:pPr>
      <w:r>
        <w:rPr>
          <w:rFonts w:ascii="Arial" w:cs="Arial" w:eastAsia="Arial" w:hAnsi="Arial"/>
          <w:color w:val="1C1C1C"/>
          <w:sz w:val="22"/>
          <w:szCs w:val="22"/>
        </w:rPr>
        <w:t xml:space="preserve">Infrastructure economics: The last mile — connecting remote and rural communities — is economically unattractive for commercial operators and requires public subsidy or innovative models (community networks, satellite internet, shared access points).</w:t>
      </w:r>
    </w:p>
    <w:p>
      <w:pPr>
        <w:pStyle w:val="ListParagraph"/>
        <w:numPr>
          <w:ilvl w:val="0"/>
          <w:numId w:val="2"/>
        </w:numPr>
        <w:spacing w:after="80"/>
      </w:pPr>
      <w:r>
        <w:rPr>
          <w:rFonts w:ascii="Arial" w:cs="Arial" w:eastAsia="Arial" w:hAnsi="Arial"/>
          <w:color w:val="1C1C1C"/>
          <w:sz w:val="22"/>
          <w:szCs w:val="22"/>
        </w:rPr>
        <w:t xml:space="preserve">Spectrum access: Affordable connectivity requires affordable spectrum. The allocation, licensing, and pricing of spectrum by national regulators can enable or block affordable broadband deployment.</w:t>
      </w:r>
    </w:p>
    <w:p>
      <w:pPr>
        <w:pStyle w:val="ListParagraph"/>
        <w:numPr>
          <w:ilvl w:val="0"/>
          <w:numId w:val="2"/>
        </w:numPr>
        <w:spacing w:after="80"/>
      </w:pPr>
      <w:r>
        <w:rPr>
          <w:rFonts w:ascii="Arial" w:cs="Arial" w:eastAsia="Arial" w:hAnsi="Arial"/>
          <w:color w:val="1C1C1C"/>
          <w:sz w:val="22"/>
          <w:szCs w:val="22"/>
        </w:rPr>
        <w:t xml:space="preserve">Digital literacy: The skills gap means that even when connectivity exists, many people cannot use it effectively. Advanced skills (online safety, content creation, data literacy) are even rarer.</w:t>
      </w:r>
    </w:p>
    <w:p>
      <w:pPr>
        <w:pStyle w:val="ListParagraph"/>
        <w:numPr>
          <w:ilvl w:val="0"/>
          <w:numId w:val="2"/>
        </w:numPr>
        <w:spacing w:after="80"/>
      </w:pPr>
      <w:r>
        <w:rPr>
          <w:rFonts w:ascii="Arial" w:cs="Arial" w:eastAsia="Arial" w:hAnsi="Arial"/>
          <w:color w:val="1C1C1C"/>
          <w:sz w:val="22"/>
          <w:szCs w:val="22"/>
        </w:rPr>
        <w:t xml:space="preserve">Local content: The internet in many languages remains thin. When users cannot find content in their own languages, connectivity has limited value.</w:t>
      </w:r>
    </w:p>
    <w:p>
      <w:pPr>
        <w:pStyle w:val="ListParagraph"/>
        <w:numPr>
          <w:ilvl w:val="0"/>
          <w:numId w:val="2"/>
        </w:numPr>
        <w:spacing w:after="80"/>
      </w:pPr>
      <w:r>
        <w:rPr>
          <w:rFonts w:ascii="Arial" w:cs="Arial" w:eastAsia="Arial" w:hAnsi="Arial"/>
          <w:color w:val="1C1C1C"/>
          <w:sz w:val="22"/>
          <w:szCs w:val="22"/>
        </w:rPr>
        <w:t xml:space="preserve">Geographic barriers: Island states, mountainous regions, and the Sahel present physical challenges for terrestrial infrastructure. Satellite internet (LEO constellations such as Starlink, OneWeb, and Amazon Kuiper) offers new possibilities but raises spectrum governance and pricing concerns.</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8. Key International Frameworks and ITU Mechanisms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Framework / Mechanism</w:t>
            </w:r>
          </w:p>
        </w:tc>
        <w:tc>
          <w:tcPr>
            <w:tcW w:type="dxa" w:w="6660"/>
            <w:tcBorders>
              <w:top w:val="single" w:color="1A6EA8" w:sz="1"/>
              <w:left w:val="single" w:color="1A6EA8" w:sz="1"/>
              <w:bottom w:val="single" w:color="1A6EA8" w:sz="1"/>
              <w:right w:val="single" w:color="1A6EA8" w:sz="1"/>
            </w:tcBorders>
            <w:shd w:fill="0D3B6E" w:val="clear"/>
            <w:tcMar>
              <w:top w:type="dxa" w:w="80"/>
              <w:left w:type="dxa" w:w="120"/>
              <w:bottom w:type="dxa" w:w="80"/>
              <w:right w:type="dxa" w:w="120"/>
            </w:tcMar>
          </w:tcPr>
          <w:p>
            <w:r>
              <w:rPr>
                <w:rFonts w:ascii="Arial" w:cs="Arial" w:eastAsia="Arial" w:hAnsi="Arial"/>
                <w:b/>
                <w:bCs/>
                <w:color w:val="FFFFFF"/>
                <w:sz w:val="21"/>
                <w:szCs w:val="21"/>
              </w:rPr>
              <w:t xml:space="preserve">Key Provisions Relevant to This Agenda</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WSIS Action Lines (2003/2005)</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11 Action Lines covering connectivity, cybersecurity, e-government, and digital inclusion. ITU is lead facilitator for Action Lines on connectivity, cybersecurity, and enabling environment.</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UN Global Digital Compact (GDC, 2024)</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Adopted at Summit of the Future; calls for inclusive AI governance, digital public infrastructure, data governance, and universal connectivity. Sets $100B P2C target. Places ITU at centre of implementation.</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Connect 2030 Agenda</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ITU’s strategic framework for universal connectivity; five goals (Growth, Inclusiveness, Sustainability, Innovation, Partnership); guide WTDC decisions and development sector activities.</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ITU Strategic Plan 2024–2027</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Operationalizes the ITU mandate; four outcomes: Universal Connectivity, Digital Innovation, Sustainable Development, Digital Trust and Governance.</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ITU-T GCI 2024</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Benchmarking tool for national cybersecurity; 193 countries assessed; identifies gaps and best practices.</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Partner2Connect Coalition</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Multistakeholder pledge mechanism; $100B target by 2030; Digital Infrastructure Investment Catalyser channels implementation.</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AI for Good Platform</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ITU’s primary AI governance mechanism; hosts global summit, focus groups, AI governance dialogues, skills coalition, and AI Standards Exchange database.</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International AI Standards Exchange</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Launched 2024; partnership of ITU, IEEE, IETF, AI Standards Hub; maps and aligns AI standards globally.</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AI &amp; Multimedia Authenticity Standards (AMAS)</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Global initiative (IEC, ISO, ITU, C2PA, Microsoft, CAICT, WITNESS); maps 35+ standards on content provenance, watermarking, rights management.</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WTDC-25 (Baku, Nov 2025)</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World Telecommunication Development Conference; endorsed new Regional Initiatives; advanced Connect 2030 Agenda and GDC alignment.</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ITU Annual AI Governance Report 2025</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Identifies seven themes shaping AI governance; introduces PDR framework for AI harms; published in partnership with 53 UN entities.</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Global Digital Compact – GDC Implementation</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ITU Council 2025 (Jun &amp; Sep sessions) updated ITU’s GDC action plan; endorsed 2025–2028 Operational Plan aligned with GDC objectives.</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WSIS+20 Review Process</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Ongoing process to update WSIS outcomes for the next 20 years; high-level events in 2024 and 2025; ITU is co-organizer with UNESCO, UNDP, UNCTAD.</w:t>
            </w:r>
          </w:p>
        </w:tc>
      </w:tr>
      <w:tr>
        <w:tc>
          <w:tcPr>
            <w:tcW w:type="dxa" w:w="270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Giga Initiative (ITU + UNICEF)</w:t>
            </w:r>
          </w:p>
        </w:tc>
        <w:tc>
          <w:tcPr>
            <w:tcW w:type="dxa" w:w="6660"/>
            <w:tcBorders>
              <w:top w:val="single" w:color="BFD0E0" w:sz="1"/>
              <w:left w:val="single" w:color="BFD0E0" w:sz="1"/>
              <w:bottom w:val="single" w:color="BFD0E0" w:sz="1"/>
              <w:right w:val="single" w:color="BFD0E0" w:sz="1"/>
            </w:tcBorders>
            <w:shd w:fill="F3F5F8" w:val="clear"/>
            <w:tcMar>
              <w:top w:type="dxa" w:w="60"/>
              <w:left w:type="dxa" w:w="120"/>
              <w:bottom w:type="dxa" w:w="60"/>
              <w:right w:type="dxa" w:w="120"/>
            </w:tcMar>
          </w:tcPr>
          <w:p>
            <w:r>
              <w:rPr>
                <w:rFonts w:ascii="Arial" w:cs="Arial" w:eastAsia="Arial" w:hAnsi="Arial"/>
                <w:color w:val="1C1C1C"/>
                <w:sz w:val="21"/>
                <w:szCs w:val="21"/>
              </w:rPr>
              <w:t xml:space="preserve">Connects schools to internet; 1M+ schools mapped; expanding to AI skills training in Africa (2025).</w:t>
            </w:r>
          </w:p>
        </w:tc>
      </w:tr>
      <w:tr>
        <w:tc>
          <w:tcPr>
            <w:tcW w:type="dxa" w:w="270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Digital Infrastructure Investment Initiative (DIII)</w:t>
            </w:r>
          </w:p>
        </w:tc>
        <w:tc>
          <w:tcPr>
            <w:tcW w:type="dxa" w:w="6660"/>
            <w:tcBorders>
              <w:top w:val="single" w:color="BFD0E0" w:sz="1"/>
              <w:left w:val="single" w:color="BFD0E0" w:sz="1"/>
              <w:bottom w:val="single" w:color="BFD0E0" w:sz="1"/>
              <w:right w:val="single" w:color="BFD0E0" w:sz="1"/>
            </w:tcBorders>
            <w:shd w:fill="FFFFFF" w:val="clear"/>
            <w:tcMar>
              <w:top w:type="dxa" w:w="60"/>
              <w:left w:type="dxa" w:w="120"/>
              <w:bottom w:type="dxa" w:w="60"/>
              <w:right w:type="dxa" w:w="120"/>
            </w:tcMar>
          </w:tcPr>
          <w:p>
            <w:r>
              <w:rPr>
                <w:rFonts w:ascii="Arial" w:cs="Arial" w:eastAsia="Arial" w:hAnsi="Arial"/>
                <w:color w:val="1C1C1C"/>
                <w:sz w:val="21"/>
                <w:szCs w:val="21"/>
              </w:rPr>
              <w:t xml:space="preserve">Launched 2024 with G20 and 6 development finance institutions; targets USD 1.6 trillion investment gap.</w:t>
            </w:r>
          </w:p>
        </w:tc>
      </w:tr>
    </w:tbl>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9. Country and Bloc Positions</w:t>
      </w:r>
    </w:p>
    <w:p>
      <w:pPr>
        <w:pStyle w:val="Heading2"/>
        <w:spacing w:after="100" w:before="280"/>
      </w:pPr>
      <w:r>
        <w:rPr>
          <w:rFonts w:ascii="Arial" w:cs="Arial" w:eastAsia="Arial" w:hAnsi="Arial"/>
          <w:b/>
          <w:bCs/>
          <w:color w:val="1A6EA8"/>
          <w:sz w:val="26"/>
          <w:szCs w:val="26"/>
        </w:rPr>
        <w:t xml:space="preserve">9.1 Developed Country Positions</w:t>
      </w:r>
    </w:p>
    <w:p>
      <w:pPr>
        <w:pStyle w:val="Heading3"/>
        <w:spacing w:after="80" w:before="180"/>
      </w:pPr>
      <w:r>
        <w:rPr>
          <w:rFonts w:ascii="Arial" w:cs="Arial" w:eastAsia="Arial" w:hAnsi="Arial"/>
          <w:b/>
          <w:bCs/>
          <w:color w:val="0A7E8C"/>
          <w:sz w:val="22"/>
          <w:szCs w:val="22"/>
        </w:rPr>
        <w:t xml:space="preserve">United States</w:t>
      </w:r>
    </w:p>
    <w:p>
      <w:pPr>
        <w:spacing w:after="130" w:line="316" w:lineRule="auto"/>
        <w:jc w:val="both"/>
      </w:pPr>
      <w:r>
        <w:rPr>
          <w:rFonts w:ascii="Arial" w:cs="Arial" w:eastAsia="Arial" w:hAnsi="Arial"/>
          <w:color w:val="1C1C1C"/>
          <w:sz w:val="22"/>
          <w:szCs w:val="22"/>
        </w:rPr>
        <w:t xml:space="preserve">The U.S. broadly supports ITU’s technical standardization role but is wary of ITU involvement in internet governance or AI regulation, preferring voluntary, multi-stakeholder frameworks. Washington has advocated for the Political Declaration on Responsible AI in the Military Domain and supported the AI Safety Summits (Bletchley, Seoul). The U.S. tech industry is the world’s largest AI developer and generally opposes prescriptive binding AI standards. On connectivity, the U.S. has supported P2C and the Cable Connectivity and Resilience for the Pacific (CCRP) initiative.</w:t>
      </w:r>
    </w:p>
    <w:p>
      <w:pPr>
        <w:pStyle w:val="Heading3"/>
        <w:spacing w:after="80" w:before="180"/>
      </w:pPr>
      <w:r>
        <w:rPr>
          <w:rFonts w:ascii="Arial" w:cs="Arial" w:eastAsia="Arial" w:hAnsi="Arial"/>
          <w:b/>
          <w:bCs/>
          <w:color w:val="0A7E8C"/>
          <w:sz w:val="22"/>
          <w:szCs w:val="22"/>
        </w:rPr>
        <w:t xml:space="preserve">European Union</w:t>
      </w:r>
    </w:p>
    <w:p>
      <w:pPr>
        <w:spacing w:after="130" w:line="316" w:lineRule="auto"/>
        <w:jc w:val="both"/>
      </w:pPr>
      <w:r>
        <w:rPr>
          <w:rFonts w:ascii="Arial" w:cs="Arial" w:eastAsia="Arial" w:hAnsi="Arial"/>
          <w:color w:val="1C1C1C"/>
          <w:sz w:val="22"/>
          <w:szCs w:val="22"/>
        </w:rPr>
        <w:t xml:space="preserve">The EU is the most active advocate for binding AI governance at both regional and global levels. The EU AI Act (2024) — the world’s most comprehensive AI law — establishes risk-based categories and requirements. The EU supports strong ITU-T AI standards and has called for global AI governance frameworks aligned with human rights principles. The EU is also a strong proponent of open, interoperable internet standards and digital sovereignty for developing countries. France hosted the AI Action Summit (February 2025), producing the “Paris Declaration on AI” with commitments on inclusive AI governance.</w:t>
      </w:r>
    </w:p>
    <w:p>
      <w:pPr>
        <w:pStyle w:val="Heading3"/>
        <w:spacing w:after="80" w:before="180"/>
      </w:pPr>
      <w:r>
        <w:rPr>
          <w:rFonts w:ascii="Arial" w:cs="Arial" w:eastAsia="Arial" w:hAnsi="Arial"/>
          <w:b/>
          <w:bCs/>
          <w:color w:val="0A7E8C"/>
          <w:sz w:val="22"/>
          <w:szCs w:val="22"/>
        </w:rPr>
        <w:t xml:space="preserve">China</w:t>
      </w:r>
    </w:p>
    <w:p>
      <w:pPr>
        <w:spacing w:after="130" w:line="316" w:lineRule="auto"/>
        <w:jc w:val="both"/>
      </w:pPr>
      <w:r>
        <w:rPr>
          <w:rFonts w:ascii="Arial" w:cs="Arial" w:eastAsia="Arial" w:hAnsi="Arial"/>
          <w:color w:val="1C1C1C"/>
          <w:sz w:val="22"/>
          <w:szCs w:val="22"/>
        </w:rPr>
        <w:t xml:space="preserve">China is both a major proponent of ITU standards (often advancing its own technical proposals through ITU-T Study Groups) and a significant digital infrastructure investor in developing countries through the Digital Silk Road. China supports ITU’s role in AI governance and has advocated for a treaty-based approach to internet governance that gives states greater control. China advocates for the CCW as the appropriate forum for some technology governance issues. China has jointly participated in the Global High-Level Initiative on IHL with France and the ICRC, but abstained on key UNGA AI resolutions. China’s stated ITU position supports binding instruments when “conditions are mature.”</w:t>
      </w:r>
    </w:p>
    <w:p>
      <w:pPr>
        <w:pStyle w:val="Heading3"/>
        <w:spacing w:after="80" w:before="180"/>
      </w:pPr>
      <w:r>
        <w:rPr>
          <w:rFonts w:ascii="Arial" w:cs="Arial" w:eastAsia="Arial" w:hAnsi="Arial"/>
          <w:b/>
          <w:bCs/>
          <w:color w:val="0A7E8C"/>
          <w:sz w:val="22"/>
          <w:szCs w:val="22"/>
        </w:rPr>
        <w:t xml:space="preserve">Russia</w:t>
      </w:r>
    </w:p>
    <w:p>
      <w:pPr>
        <w:spacing w:after="130" w:line="316" w:lineRule="auto"/>
        <w:jc w:val="both"/>
      </w:pPr>
      <w:r>
        <w:rPr>
          <w:rFonts w:ascii="Arial" w:cs="Arial" w:eastAsia="Arial" w:hAnsi="Arial"/>
          <w:color w:val="1C1C1C"/>
          <w:sz w:val="22"/>
          <w:szCs w:val="22"/>
        </w:rPr>
        <w:t xml:space="preserve">Russia has consistently pushed for greater state control over internet governance and has developed its own “RUNET” as a fallback domestic internet. At the ITU, Russia has historically supported proposals that would give states more authority over internet traffic routing and content. Russia opposes many Western-led frameworks for AI governance and has blocked progress on some multilateral digital governance initiatives.</w:t>
      </w:r>
    </w:p>
    <w:p>
      <w:pPr>
        <w:pStyle w:val="Heading2"/>
        <w:spacing w:after="100" w:before="280"/>
      </w:pPr>
      <w:r>
        <w:rPr>
          <w:rFonts w:ascii="Arial" w:cs="Arial" w:eastAsia="Arial" w:hAnsi="Arial"/>
          <w:b/>
          <w:bCs/>
          <w:color w:val="1A6EA8"/>
          <w:sz w:val="26"/>
          <w:szCs w:val="26"/>
        </w:rPr>
        <w:t xml:space="preserve">9.2 Emerging Economy and Developing Country Positions</w:t>
      </w:r>
    </w:p>
    <w:p>
      <w:pPr>
        <w:pStyle w:val="Heading3"/>
        <w:spacing w:after="80" w:before="180"/>
      </w:pPr>
      <w:r>
        <w:rPr>
          <w:rFonts w:ascii="Arial" w:cs="Arial" w:eastAsia="Arial" w:hAnsi="Arial"/>
          <w:b/>
          <w:bCs/>
          <w:color w:val="0A7E8C"/>
          <w:sz w:val="22"/>
          <w:szCs w:val="22"/>
        </w:rPr>
        <w:t xml:space="preserve">African Union / G77</w:t>
      </w:r>
    </w:p>
    <w:p>
      <w:pPr>
        <w:spacing w:after="130" w:line="316" w:lineRule="auto"/>
        <w:jc w:val="both"/>
      </w:pPr>
      <w:r>
        <w:rPr>
          <w:rFonts w:ascii="Arial" w:cs="Arial" w:eastAsia="Arial" w:hAnsi="Arial"/>
          <w:color w:val="1C1C1C"/>
          <w:sz w:val="22"/>
          <w:szCs w:val="22"/>
        </w:rPr>
        <w:t xml:space="preserve">The African Union and G77 collectively represent the largest bloc in the ITU. Their priorities are consistent: accelerate connectivity investment, ensure technology transfer, build domestic AI capacity, and ensure developing country voices are heard in standards processes that affect them. African states are particularly concerned about data colonialism (foreign control of data generated in Africa), the digital skills gap, and the concentration of submarine cable ownership. The AU’s Digital Transformation Strategy for Africa (2020–2030) targets 75 percent of Africans online by 2030.</w:t>
      </w:r>
    </w:p>
    <w:p>
      <w:pPr>
        <w:pStyle w:val="Heading3"/>
        <w:spacing w:after="80" w:before="180"/>
      </w:pPr>
      <w:r>
        <w:rPr>
          <w:rFonts w:ascii="Arial" w:cs="Arial" w:eastAsia="Arial" w:hAnsi="Arial"/>
          <w:b/>
          <w:bCs/>
          <w:color w:val="0A7E8C"/>
          <w:sz w:val="22"/>
          <w:szCs w:val="22"/>
        </w:rPr>
        <w:t xml:space="preserve">India</w:t>
      </w:r>
    </w:p>
    <w:p>
      <w:pPr>
        <w:spacing w:after="130" w:line="316" w:lineRule="auto"/>
        <w:jc w:val="both"/>
      </w:pPr>
      <w:r>
        <w:rPr>
          <w:rFonts w:ascii="Arial" w:cs="Arial" w:eastAsia="Arial" w:hAnsi="Arial"/>
          <w:color w:val="1C1C1C"/>
          <w:sz w:val="22"/>
          <w:szCs w:val="22"/>
        </w:rPr>
        <w:t xml:space="preserve">India, the world’s largest democracy and one of the fastest-growing digital economies, has achieved over 85 percent smartphone household penetration. India has developed significant domestic digital public infrastructure (UPI, Aadhaar, DigiLocker) and is actively promoting its “India Stack” model internationally through the Digital Public Infrastructure (DPI) agenda at the GDC. India participates actively in ITU-T standardization and is a strong voice for affordable connectivity and technology access for the Global South.</w:t>
      </w:r>
    </w:p>
    <w:p>
      <w:pPr>
        <w:pStyle w:val="Heading3"/>
        <w:spacing w:after="80" w:before="180"/>
      </w:pPr>
      <w:r>
        <w:rPr>
          <w:rFonts w:ascii="Arial" w:cs="Arial" w:eastAsia="Arial" w:hAnsi="Arial"/>
          <w:b/>
          <w:bCs/>
          <w:color w:val="0A7E8C"/>
          <w:sz w:val="22"/>
          <w:szCs w:val="22"/>
        </w:rPr>
        <w:t xml:space="preserve">ASEAN / Asia-Pacific</w:t>
      </w:r>
    </w:p>
    <w:p>
      <w:pPr>
        <w:spacing w:after="130" w:line="316" w:lineRule="auto"/>
        <w:jc w:val="both"/>
      </w:pPr>
      <w:r>
        <w:rPr>
          <w:rFonts w:ascii="Arial" w:cs="Arial" w:eastAsia="Arial" w:hAnsi="Arial"/>
          <w:color w:val="1C1C1C"/>
          <w:sz w:val="22"/>
          <w:szCs w:val="22"/>
        </w:rPr>
        <w:t xml:space="preserve">ASEAN member states are at varying stages of digital development, from Singapore (near-universal connectivity) to Laos and Myanmar (significant gaps). The bloc generally supports universal connectivity and participates in ITU processes, but differs internally on AI governance preferences — some (Singapore) favour innovation-friendly frameworks, others (Vietnam, Indonesia) are adopting domestic AI regulations. The Asia-Pacific region recorded the fastest connectivity growth globally (+27pp in 6 years).</w:t>
      </w:r>
    </w:p>
    <w:p>
      <w:pPr>
        <w:pStyle w:val="Heading3"/>
        <w:spacing w:after="80" w:before="180"/>
      </w:pPr>
      <w:r>
        <w:rPr>
          <w:rFonts w:ascii="Arial" w:cs="Arial" w:eastAsia="Arial" w:hAnsi="Arial"/>
          <w:b/>
          <w:bCs/>
          <w:color w:val="0A7E8C"/>
          <w:sz w:val="22"/>
          <w:szCs w:val="22"/>
        </w:rPr>
        <w:t xml:space="preserve">Small Island Developing States (SIDS) and LDCs</w:t>
      </w:r>
    </w:p>
    <w:p>
      <w:pPr>
        <w:spacing w:after="130" w:line="316" w:lineRule="auto"/>
        <w:jc w:val="both"/>
      </w:pPr>
      <w:r>
        <w:rPr>
          <w:rFonts w:ascii="Arial" w:cs="Arial" w:eastAsia="Arial" w:hAnsi="Arial"/>
          <w:color w:val="1C1C1C"/>
          <w:sz w:val="22"/>
          <w:szCs w:val="22"/>
        </w:rPr>
        <w:t xml:space="preserve">SIDS and Landlocked Developing Countries face the most acute connectivity challenges and the most severe cybersecurity capacity gaps. They are among the most vocal advocates for ITU capacity-building support and financing mechanisms. These states are disproportionately affected by climate change, which threatens physical infrastructure, and by cybercrime, which targets their limited institutional capacity. They strongly support binding international cybersecurity frameworks and differentiated implementation timelines.</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10. Core Areas of Debate</w:t>
      </w:r>
    </w:p>
    <w:p>
      <w:pPr>
        <w:pStyle w:val="Heading2"/>
        <w:spacing w:after="100" w:before="280"/>
      </w:pPr>
      <w:r>
        <w:rPr>
          <w:rFonts w:ascii="Arial" w:cs="Arial" w:eastAsia="Arial" w:hAnsi="Arial"/>
          <w:b/>
          <w:bCs/>
          <w:color w:val="1A6EA8"/>
          <w:sz w:val="26"/>
          <w:szCs w:val="26"/>
        </w:rPr>
        <w:t xml:space="preserve">10.1 The Nature and Binding Force of AI Standards</w:t>
      </w:r>
    </w:p>
    <w:p>
      <w:pPr>
        <w:spacing w:after="130" w:line="316" w:lineRule="auto"/>
        <w:jc w:val="both"/>
      </w:pPr>
      <w:r>
        <w:rPr>
          <w:rFonts w:ascii="Arial" w:cs="Arial" w:eastAsia="Arial" w:hAnsi="Arial"/>
          <w:color w:val="1C1C1C"/>
          <w:sz w:val="22"/>
          <w:szCs w:val="22"/>
        </w:rPr>
        <w:t xml:space="preserve">Perhaps the most fundamental debate concerns whether AI standards should be binding legal instruments or voluntary technical recommendations. ITU-T Recommendations are technically voluntary — member states agree to implement them but are not legally compelled to do so. Yet their de facto influence is enormous: for countries whose telecom infrastructure depends on equipment built to ITU standards, the standards are effectively mandatory. The question is whether the same model is adequate for AI governance, or whether the stakes (bias, safety, accountability) require binding law. The EU AI Act represents one answer; the U.S. voluntary framework represents another. Developing countries must navigate this debate while also building the domestic capacity to implement whatever framework emerges.</w:t>
      </w:r>
    </w:p>
    <w:p>
      <w:pPr>
        <w:pStyle w:val="Heading2"/>
        <w:spacing w:after="100" w:before="280"/>
      </w:pPr>
      <w:r>
        <w:rPr>
          <w:rFonts w:ascii="Arial" w:cs="Arial" w:eastAsia="Arial" w:hAnsi="Arial"/>
          <w:b/>
          <w:bCs/>
          <w:color w:val="1A6EA8"/>
          <w:sz w:val="26"/>
          <w:szCs w:val="26"/>
        </w:rPr>
        <w:t xml:space="preserve">10.2 Inclusivity of Standardization Processes</w:t>
      </w:r>
    </w:p>
    <w:p>
      <w:pPr>
        <w:spacing w:after="130" w:line="316" w:lineRule="auto"/>
        <w:jc w:val="both"/>
      </w:pPr>
      <w:r>
        <w:rPr>
          <w:rFonts w:ascii="Arial" w:cs="Arial" w:eastAsia="Arial" w:hAnsi="Arial"/>
          <w:color w:val="1C1C1C"/>
          <w:sz w:val="22"/>
          <w:szCs w:val="22"/>
        </w:rPr>
        <w:t xml:space="preserve">ITU standards are developed through Study Groups and Focus Groups that any member state can join. However, meaningful participation requires sustained engagement by technically expert delegates — a resource that many developing countries lack. The result is that ITU-T Recommendations are often shaped by delegations from high-income countries and large technology corporations (which participate as ITU Sector Members), while developing countries — which will implement and be subject to those standards — have limited influence. This is sometimes described as “standards capture.” The question for delegates is how to reform participation structures to ensure genuine inclusivity.</w:t>
      </w:r>
    </w:p>
    <w:p>
      <w:pPr>
        <w:pStyle w:val="Heading2"/>
        <w:spacing w:after="100" w:before="280"/>
      </w:pPr>
      <w:r>
        <w:rPr>
          <w:rFonts w:ascii="Arial" w:cs="Arial" w:eastAsia="Arial" w:hAnsi="Arial"/>
          <w:b/>
          <w:bCs/>
          <w:color w:val="1A6EA8"/>
          <w:sz w:val="26"/>
          <w:szCs w:val="26"/>
        </w:rPr>
        <w:t xml:space="preserve">10.3 Financing the Connectivity Gap</w:t>
      </w:r>
    </w:p>
    <w:p>
      <w:pPr>
        <w:spacing w:after="130" w:line="316" w:lineRule="auto"/>
        <w:jc w:val="both"/>
      </w:pPr>
      <w:r>
        <w:rPr>
          <w:rFonts w:ascii="Arial" w:cs="Arial" w:eastAsia="Arial" w:hAnsi="Arial"/>
          <w:color w:val="1C1C1C"/>
          <w:sz w:val="22"/>
          <w:szCs w:val="22"/>
        </w:rPr>
        <w:t xml:space="preserve">The USD 1.6 trillion investment gap cannot be closed without a fundamentally different financing architecture. Public investment alone is insufficient; private investment follows commercial returns, which are weakest in the least-connected communities. Debates centre on:</w:t>
      </w:r>
    </w:p>
    <w:p>
      <w:pPr>
        <w:pStyle w:val="ListParagraph"/>
        <w:numPr>
          <w:ilvl w:val="0"/>
          <w:numId w:val="2"/>
        </w:numPr>
        <w:spacing w:after="80"/>
      </w:pPr>
      <w:r>
        <w:rPr>
          <w:rFonts w:ascii="Arial" w:cs="Arial" w:eastAsia="Arial" w:hAnsi="Arial"/>
          <w:color w:val="1C1C1C"/>
          <w:sz w:val="22"/>
          <w:szCs w:val="22"/>
        </w:rPr>
        <w:t xml:space="preserve">The role of development finance institutions: Can multilateral banks (World Bank, regional development banks) de-risk investment in unserved areas through blended finance?</w:t>
      </w:r>
    </w:p>
    <w:p>
      <w:pPr>
        <w:pStyle w:val="ListParagraph"/>
        <w:numPr>
          <w:ilvl w:val="0"/>
          <w:numId w:val="2"/>
        </w:numPr>
        <w:spacing w:after="80"/>
      </w:pPr>
      <w:r>
        <w:rPr>
          <w:rFonts w:ascii="Arial" w:cs="Arial" w:eastAsia="Arial" w:hAnsi="Arial"/>
          <w:color w:val="1C1C1C"/>
          <w:sz w:val="22"/>
          <w:szCs w:val="22"/>
        </w:rPr>
        <w:t xml:space="preserve">Universal Service Funds (USFs): Many countries have USFs funded by telecom operator levies, but they are often mismanaged or underspent. How can USFs be reformed to effectively fund last-mile connectivity?</w:t>
      </w:r>
    </w:p>
    <w:p>
      <w:pPr>
        <w:pStyle w:val="ListParagraph"/>
        <w:numPr>
          <w:ilvl w:val="0"/>
          <w:numId w:val="2"/>
        </w:numPr>
        <w:spacing w:after="80"/>
      </w:pPr>
      <w:r>
        <w:rPr>
          <w:rFonts w:ascii="Arial" w:cs="Arial" w:eastAsia="Arial" w:hAnsi="Arial"/>
          <w:color w:val="1C1C1C"/>
          <w:sz w:val="22"/>
          <w:szCs w:val="22"/>
        </w:rPr>
        <w:t xml:space="preserve">Technology choices: LEO satellite internet (Starlink, OneWeb, Amazon Kuiper) offers rapid coverage expansion but raises concerns about spectrum governance, pricing, and dependency on private foreign providers. Should the ITU play a stronger role in governing these constellations?</w:t>
      </w:r>
    </w:p>
    <w:p>
      <w:pPr>
        <w:pStyle w:val="ListParagraph"/>
        <w:numPr>
          <w:ilvl w:val="0"/>
          <w:numId w:val="2"/>
        </w:numPr>
        <w:spacing w:after="80"/>
      </w:pPr>
      <w:r>
        <w:rPr>
          <w:rFonts w:ascii="Arial" w:cs="Arial" w:eastAsia="Arial" w:hAnsi="Arial"/>
          <w:color w:val="1C1C1C"/>
          <w:sz w:val="22"/>
          <w:szCs w:val="22"/>
        </w:rPr>
        <w:t xml:space="preserve">Spectrum pricing: Regulatory choices about spectrum licensing fees directly affect the economics of mobile broadband deployment in rural areas.</w:t>
      </w:r>
    </w:p>
    <w:p>
      <w:pPr>
        <w:pStyle w:val="Heading2"/>
        <w:spacing w:after="100" w:before="280"/>
      </w:pPr>
      <w:r>
        <w:rPr>
          <w:rFonts w:ascii="Arial" w:cs="Arial" w:eastAsia="Arial" w:hAnsi="Arial"/>
          <w:b/>
          <w:bCs/>
          <w:color w:val="1A6EA8"/>
          <w:sz w:val="26"/>
          <w:szCs w:val="26"/>
        </w:rPr>
        <w:t xml:space="preserve">10.4 Data Sovereignty and Digital Infrastructure Governance</w:t>
      </w:r>
    </w:p>
    <w:p>
      <w:pPr>
        <w:spacing w:after="130" w:line="316" w:lineRule="auto"/>
        <w:jc w:val="both"/>
      </w:pPr>
      <w:r>
        <w:rPr>
          <w:rFonts w:ascii="Arial" w:cs="Arial" w:eastAsia="Arial" w:hAnsi="Arial"/>
          <w:color w:val="1C1C1C"/>
          <w:sz w:val="22"/>
          <w:szCs w:val="22"/>
        </w:rPr>
        <w:t xml:space="preserve">The concentration of submarine cable, cloud, and data centre infrastructure in the hands of a small number of large corporations (primarily U.S. and Chinese) raises acute questions of sovereignty for developing countries. When 90 percent of a continent’s internet traffic flows through infrastructure owned by foreign corporations, questions arise about:</w:t>
      </w:r>
    </w:p>
    <w:p>
      <w:pPr>
        <w:pStyle w:val="ListParagraph"/>
        <w:numPr>
          <w:ilvl w:val="0"/>
          <w:numId w:val="2"/>
        </w:numPr>
        <w:spacing w:after="80"/>
      </w:pPr>
      <w:r>
        <w:rPr>
          <w:rFonts w:ascii="Arial" w:cs="Arial" w:eastAsia="Arial" w:hAnsi="Arial"/>
          <w:color w:val="1C1C1C"/>
          <w:sz w:val="22"/>
          <w:szCs w:val="22"/>
        </w:rPr>
        <w:t xml:space="preserve">Legal jurisdiction over data generated by citizens of developing countries.</w:t>
      </w:r>
    </w:p>
    <w:p>
      <w:pPr>
        <w:pStyle w:val="ListParagraph"/>
        <w:numPr>
          <w:ilvl w:val="0"/>
          <w:numId w:val="2"/>
        </w:numPr>
        <w:spacing w:after="80"/>
      </w:pPr>
      <w:r>
        <w:rPr>
          <w:rFonts w:ascii="Arial" w:cs="Arial" w:eastAsia="Arial" w:hAnsi="Arial"/>
          <w:color w:val="1C1C1C"/>
          <w:sz w:val="22"/>
          <w:szCs w:val="22"/>
        </w:rPr>
        <w:t xml:space="preserve">Vulnerability to political pressure or service interruptions by foreign governments.</w:t>
      </w:r>
    </w:p>
    <w:p>
      <w:pPr>
        <w:pStyle w:val="ListParagraph"/>
        <w:numPr>
          <w:ilvl w:val="0"/>
          <w:numId w:val="2"/>
        </w:numPr>
        <w:spacing w:after="80"/>
      </w:pPr>
      <w:r>
        <w:rPr>
          <w:rFonts w:ascii="Arial" w:cs="Arial" w:eastAsia="Arial" w:hAnsi="Arial"/>
          <w:color w:val="1C1C1C"/>
          <w:sz w:val="22"/>
          <w:szCs w:val="22"/>
        </w:rPr>
        <w:t xml:space="preserve">Transfer pricing and profit extraction that reduces the economic benefit of connectivity for host countries.</w:t>
      </w:r>
    </w:p>
    <w:p>
      <w:pPr>
        <w:pStyle w:val="ListParagraph"/>
        <w:numPr>
          <w:ilvl w:val="0"/>
          <w:numId w:val="2"/>
        </w:numPr>
        <w:spacing w:after="80"/>
      </w:pPr>
      <w:r>
        <w:rPr>
          <w:rFonts w:ascii="Arial" w:cs="Arial" w:eastAsia="Arial" w:hAnsi="Arial"/>
          <w:color w:val="1C1C1C"/>
          <w:sz w:val="22"/>
          <w:szCs w:val="22"/>
        </w:rPr>
        <w:t xml:space="preserve">The appropriateness of ITU’s current standards mandate to address these governance concerns, versus the need for new multilateral instruments.</w:t>
      </w:r>
    </w:p>
    <w:p>
      <w:pPr>
        <w:pStyle w:val="Heading2"/>
        <w:spacing w:after="100" w:before="280"/>
      </w:pPr>
      <w:r>
        <w:rPr>
          <w:rFonts w:ascii="Arial" w:cs="Arial" w:eastAsia="Arial" w:hAnsi="Arial"/>
          <w:b/>
          <w:bCs/>
          <w:color w:val="1A6EA8"/>
          <w:sz w:val="26"/>
          <w:szCs w:val="26"/>
        </w:rPr>
        <w:t xml:space="preserve">10.5 AI Governance: Fragmentation vs. Harmonization</w:t>
      </w:r>
    </w:p>
    <w:p>
      <w:pPr>
        <w:spacing w:after="130" w:line="316" w:lineRule="auto"/>
        <w:jc w:val="both"/>
      </w:pPr>
      <w:r>
        <w:rPr>
          <w:rFonts w:ascii="Arial" w:cs="Arial" w:eastAsia="Arial" w:hAnsi="Arial"/>
          <w:color w:val="1C1C1C"/>
          <w:sz w:val="22"/>
          <w:szCs w:val="22"/>
        </w:rPr>
        <w:t xml:space="preserve">The proliferation of AI standards across national, regional, and international bodies risks creating a fragmented patchwork that is especially burdensome for developing countries, which lack the regulatory capacity to navigate multiple overlapping frameworks. Three governance models compete:</w:t>
      </w:r>
    </w:p>
    <w:p>
      <w:pPr>
        <w:pStyle w:val="ListParagraph"/>
        <w:numPr>
          <w:ilvl w:val="0"/>
          <w:numId w:val="2"/>
        </w:numPr>
        <w:spacing w:after="80"/>
      </w:pPr>
      <w:r>
        <w:rPr>
          <w:rFonts w:ascii="Arial" w:cs="Arial" w:eastAsia="Arial" w:hAnsi="Arial"/>
          <w:color w:val="1C1C1C"/>
          <w:sz w:val="22"/>
          <w:szCs w:val="22"/>
        </w:rPr>
        <w:t xml:space="preserve">ITU-led harmonization: Using ITU-T processes to develop globally harmonized AI standards that member states voluntarily adopt.</w:t>
      </w:r>
    </w:p>
    <w:p>
      <w:pPr>
        <w:pStyle w:val="ListParagraph"/>
        <w:numPr>
          <w:ilvl w:val="0"/>
          <w:numId w:val="2"/>
        </w:numPr>
        <w:spacing w:after="80"/>
      </w:pPr>
      <w:r>
        <w:rPr>
          <w:rFonts w:ascii="Arial" w:cs="Arial" w:eastAsia="Arial" w:hAnsi="Arial"/>
          <w:color w:val="1C1C1C"/>
          <w:sz w:val="22"/>
          <w:szCs w:val="22"/>
        </w:rPr>
        <w:t xml:space="preserve">Regional leadership: The EU AI Act as a de facto global standard through the Brussels Effect (like GDPR), which imposes compliance requirements on any company doing business with the EU.</w:t>
      </w:r>
    </w:p>
    <w:p>
      <w:pPr>
        <w:pStyle w:val="ListParagraph"/>
        <w:numPr>
          <w:ilvl w:val="0"/>
          <w:numId w:val="2"/>
        </w:numPr>
        <w:spacing w:after="80"/>
      </w:pPr>
      <w:r>
        <w:rPr>
          <w:rFonts w:ascii="Arial" w:cs="Arial" w:eastAsia="Arial" w:hAnsi="Arial"/>
          <w:color w:val="1C1C1C"/>
          <w:sz w:val="22"/>
          <w:szCs w:val="22"/>
        </w:rPr>
        <w:t xml:space="preserve">Bilateral agreements: Technology-exporting countries setting AI standards through trade agreements and bilateral cooperation, without multilateral input.</w:t>
      </w:r>
    </w:p>
    <w:p>
      <w:pPr>
        <w:spacing w:after="130" w:line="316" w:lineRule="auto"/>
        <w:jc w:val="both"/>
      </w:pPr>
      <w:r>
        <w:rPr>
          <w:rFonts w:ascii="Arial" w:cs="Arial" w:eastAsia="Arial" w:hAnsi="Arial"/>
          <w:color w:val="1C1C1C"/>
          <w:sz w:val="22"/>
          <w:szCs w:val="22"/>
        </w:rPr>
        <w:t xml:space="preserve">Developing countries increasingly argue for a fourth model: South-South cooperation on AI governance, sharing regulatory capacity across the Global South and developing common frameworks adapted to their contexts.</w:t>
      </w:r>
    </w:p>
    <w:p>
      <w:pPr>
        <w:pStyle w:val="Heading2"/>
        <w:spacing w:after="100" w:before="280"/>
      </w:pPr>
      <w:r>
        <w:rPr>
          <w:rFonts w:ascii="Arial" w:cs="Arial" w:eastAsia="Arial" w:hAnsi="Arial"/>
          <w:b/>
          <w:bCs/>
          <w:color w:val="1A6EA8"/>
          <w:sz w:val="26"/>
          <w:szCs w:val="26"/>
        </w:rPr>
        <w:t xml:space="preserve">10.6 Cybersecurity, Sovereignty, and Human Rights</w:t>
      </w:r>
    </w:p>
    <w:p>
      <w:pPr>
        <w:spacing w:after="130" w:line="316" w:lineRule="auto"/>
        <w:jc w:val="both"/>
      </w:pPr>
      <w:r>
        <w:rPr>
          <w:rFonts w:ascii="Arial" w:cs="Arial" w:eastAsia="Arial" w:hAnsi="Arial"/>
          <w:color w:val="1C1C1C"/>
          <w:sz w:val="22"/>
          <w:szCs w:val="22"/>
        </w:rPr>
        <w:t xml:space="preserve">A persistent tension in cybersecurity governance concerns the dual-use nature of many security tools and standards. Encryption, anonymization, and secure communications protect privacy and human rights — but they also complicate government surveillance of legitimate security targets. Some states have used “cybersecurity” frameworks to justify censorship, blocking of VPNs and encrypted messaging, mandatory data localization, and surveillance of dissidents. The ITU’s General Secretariat has been criticized at times for hosting proposals that advance state control over the internet under the banner of security. Delegates must grapple with how to design cybersecurity standards that protect individuals and critical infrastructure without enabling authoritarian control.</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11. Possible Solutions and Policy Recommendations</w:t>
      </w:r>
    </w:p>
    <w:p>
      <w:pPr>
        <w:pStyle w:val="Heading2"/>
        <w:spacing w:after="100" w:before="280"/>
      </w:pPr>
      <w:r>
        <w:rPr>
          <w:rFonts w:ascii="Arial" w:cs="Arial" w:eastAsia="Arial" w:hAnsi="Arial"/>
          <w:b/>
          <w:bCs/>
          <w:color w:val="1A6EA8"/>
          <w:sz w:val="26"/>
          <w:szCs w:val="26"/>
        </w:rPr>
        <w:t xml:space="preserve">11.1 Strengthening AI Standards Governance</w:t>
      </w:r>
    </w:p>
    <w:p>
      <w:pPr>
        <w:pStyle w:val="ListParagraph"/>
        <w:numPr>
          <w:ilvl w:val="0"/>
          <w:numId w:val="2"/>
        </w:numPr>
        <w:spacing w:after="80"/>
      </w:pPr>
      <w:r>
        <w:rPr>
          <w:rFonts w:ascii="Arial" w:cs="Arial" w:eastAsia="Arial" w:hAnsi="Arial"/>
          <w:color w:val="1C1C1C"/>
          <w:sz w:val="22"/>
          <w:szCs w:val="22"/>
        </w:rPr>
        <w:t xml:space="preserve">Expand the International AI Standards Exchange to include mandatory consultation mechanisms with developing country representatives, civil society, and affected communities.</w:t>
      </w:r>
    </w:p>
    <w:p>
      <w:pPr>
        <w:pStyle w:val="ListParagraph"/>
        <w:numPr>
          <w:ilvl w:val="0"/>
          <w:numId w:val="2"/>
        </w:numPr>
        <w:spacing w:after="80"/>
      </w:pPr>
      <w:r>
        <w:rPr>
          <w:rFonts w:ascii="Arial" w:cs="Arial" w:eastAsia="Arial" w:hAnsi="Arial"/>
          <w:color w:val="1C1C1C"/>
          <w:sz w:val="22"/>
          <w:szCs w:val="22"/>
        </w:rPr>
        <w:t xml:space="preserve">Establish a dedicated ITU-T Study Group on AI Governance Standards with a mandate to produce a comprehensive, globally harmonized AI governance framework adaptable to different national contexts.</w:t>
      </w:r>
    </w:p>
    <w:p>
      <w:pPr>
        <w:pStyle w:val="ListParagraph"/>
        <w:numPr>
          <w:ilvl w:val="0"/>
          <w:numId w:val="2"/>
        </w:numPr>
        <w:spacing w:after="80"/>
      </w:pPr>
      <w:r>
        <w:rPr>
          <w:rFonts w:ascii="Arial" w:cs="Arial" w:eastAsia="Arial" w:hAnsi="Arial"/>
          <w:color w:val="1C1C1C"/>
          <w:sz w:val="22"/>
          <w:szCs w:val="22"/>
        </w:rPr>
        <w:t xml:space="preserve">Develop tiered implementation frameworks that allow developing countries phased adoption of AI standards, with technical assistance and capacity-building support.</w:t>
      </w:r>
    </w:p>
    <w:p>
      <w:pPr>
        <w:pStyle w:val="ListParagraph"/>
        <w:numPr>
          <w:ilvl w:val="0"/>
          <w:numId w:val="2"/>
        </w:numPr>
        <w:spacing w:after="80"/>
      </w:pPr>
      <w:r>
        <w:rPr>
          <w:rFonts w:ascii="Arial" w:cs="Arial" w:eastAsia="Arial" w:hAnsi="Arial"/>
          <w:color w:val="1C1C1C"/>
          <w:sz w:val="22"/>
          <w:szCs w:val="22"/>
        </w:rPr>
        <w:t xml:space="preserve">Create a formal mechanism for developing countries to table AI governance proposals in ITU-T processes, funded through the ITU’s Development Sector budget.</w:t>
      </w:r>
    </w:p>
    <w:p>
      <w:pPr>
        <w:pStyle w:val="Heading2"/>
        <w:spacing w:after="100" w:before="280"/>
      </w:pPr>
      <w:r>
        <w:rPr>
          <w:rFonts w:ascii="Arial" w:cs="Arial" w:eastAsia="Arial" w:hAnsi="Arial"/>
          <w:b/>
          <w:bCs/>
          <w:color w:val="1A6EA8"/>
          <w:sz w:val="26"/>
          <w:szCs w:val="26"/>
        </w:rPr>
        <w:t xml:space="preserve">11.2 Closing the Connectivity Investment Gap</w:t>
      </w:r>
    </w:p>
    <w:p>
      <w:pPr>
        <w:pStyle w:val="ListParagraph"/>
        <w:numPr>
          <w:ilvl w:val="0"/>
          <w:numId w:val="2"/>
        </w:numPr>
        <w:spacing w:after="80"/>
      </w:pPr>
      <w:r>
        <w:rPr>
          <w:rFonts w:ascii="Arial" w:cs="Arial" w:eastAsia="Arial" w:hAnsi="Arial"/>
          <w:color w:val="1C1C1C"/>
          <w:sz w:val="22"/>
          <w:szCs w:val="22"/>
        </w:rPr>
        <w:t xml:space="preserve">Establish a new multilateral Digital Infrastructure Investment Facility under ITU auspices, with capitalization from G20 governments and development finance institutions, specifically targeting last-mile connectivity in LDCs and SIDS.</w:t>
      </w:r>
    </w:p>
    <w:p>
      <w:pPr>
        <w:pStyle w:val="ListParagraph"/>
        <w:numPr>
          <w:ilvl w:val="0"/>
          <w:numId w:val="2"/>
        </w:numPr>
        <w:spacing w:after="80"/>
      </w:pPr>
      <w:r>
        <w:rPr>
          <w:rFonts w:ascii="Arial" w:cs="Arial" w:eastAsia="Arial" w:hAnsi="Arial"/>
          <w:color w:val="1C1C1C"/>
          <w:sz w:val="22"/>
          <w:szCs w:val="22"/>
        </w:rPr>
        <w:t xml:space="preserve">Reform Universal Service Funds globally through ITU-led peer review, developing mandatory transparency, accountability, and disbursement standards.</w:t>
      </w:r>
    </w:p>
    <w:p>
      <w:pPr>
        <w:pStyle w:val="ListParagraph"/>
        <w:numPr>
          <w:ilvl w:val="0"/>
          <w:numId w:val="2"/>
        </w:numPr>
        <w:spacing w:after="80"/>
      </w:pPr>
      <w:r>
        <w:rPr>
          <w:rFonts w:ascii="Arial" w:cs="Arial" w:eastAsia="Arial" w:hAnsi="Arial"/>
          <w:color w:val="1C1C1C"/>
          <w:sz w:val="22"/>
          <w:szCs w:val="22"/>
        </w:rPr>
        <w:t xml:space="preserve">Develop an ITU Satellite Internet Governance Framework regulating LEO constellations’ spectrum use, pricing principles, and obligations to serve underserved areas.</w:t>
      </w:r>
    </w:p>
    <w:p>
      <w:pPr>
        <w:pStyle w:val="ListParagraph"/>
        <w:numPr>
          <w:ilvl w:val="0"/>
          <w:numId w:val="2"/>
        </w:numPr>
        <w:spacing w:after="80"/>
      </w:pPr>
      <w:r>
        <w:rPr>
          <w:rFonts w:ascii="Arial" w:cs="Arial" w:eastAsia="Arial" w:hAnsi="Arial"/>
          <w:color w:val="1C1C1C"/>
          <w:sz w:val="22"/>
          <w:szCs w:val="22"/>
        </w:rPr>
        <w:t xml:space="preserve">Extend the Giga Initiative’s mandate to connect all community health centres and public service points, not just schools.</w:t>
      </w:r>
    </w:p>
    <w:p>
      <w:pPr>
        <w:pStyle w:val="Heading2"/>
        <w:spacing w:after="100" w:before="280"/>
      </w:pPr>
      <w:r>
        <w:rPr>
          <w:rFonts w:ascii="Arial" w:cs="Arial" w:eastAsia="Arial" w:hAnsi="Arial"/>
          <w:b/>
          <w:bCs/>
          <w:color w:val="1A6EA8"/>
          <w:sz w:val="26"/>
          <w:szCs w:val="26"/>
        </w:rPr>
        <w:t xml:space="preserve">11.3 Building Cybersecurity Capacity in Developing Countries</w:t>
      </w:r>
    </w:p>
    <w:p>
      <w:pPr>
        <w:pStyle w:val="ListParagraph"/>
        <w:numPr>
          <w:ilvl w:val="0"/>
          <w:numId w:val="2"/>
        </w:numPr>
        <w:spacing w:after="80"/>
      </w:pPr>
      <w:r>
        <w:rPr>
          <w:rFonts w:ascii="Arial" w:cs="Arial" w:eastAsia="Arial" w:hAnsi="Arial"/>
          <w:color w:val="1C1C1C"/>
          <w:sz w:val="22"/>
          <w:szCs w:val="22"/>
        </w:rPr>
        <w:t xml:space="preserve">Establish a mandatory minimum cybersecurity standard for countries receiving development finance for digital infrastructure, ensuring that new connectivity is secure by design.</w:t>
      </w:r>
    </w:p>
    <w:p>
      <w:pPr>
        <w:pStyle w:val="ListParagraph"/>
        <w:numPr>
          <w:ilvl w:val="0"/>
          <w:numId w:val="2"/>
        </w:numPr>
        <w:spacing w:after="80"/>
      </w:pPr>
      <w:r>
        <w:rPr>
          <w:rFonts w:ascii="Arial" w:cs="Arial" w:eastAsia="Arial" w:hAnsi="Arial"/>
          <w:color w:val="1C1C1C"/>
          <w:sz w:val="22"/>
          <w:szCs w:val="22"/>
        </w:rPr>
        <w:t xml:space="preserve">Expand ITU’s Child Online Protection (COP) framework and CIRT capacity-building programmes with dedicated funding from GCI-assessed high-performing countries as part of South-South cooperation.</w:t>
      </w:r>
    </w:p>
    <w:p>
      <w:pPr>
        <w:pStyle w:val="ListParagraph"/>
        <w:numPr>
          <w:ilvl w:val="0"/>
          <w:numId w:val="2"/>
        </w:numPr>
        <w:spacing w:after="80"/>
      </w:pPr>
      <w:r>
        <w:rPr>
          <w:rFonts w:ascii="Arial" w:cs="Arial" w:eastAsia="Arial" w:hAnsi="Arial"/>
          <w:color w:val="1C1C1C"/>
          <w:sz w:val="22"/>
          <w:szCs w:val="22"/>
        </w:rPr>
        <w:t xml:space="preserve">Develop a multilateral framework for submarine cable security, including governance of landing stations, mandatory redundancy requirements, and compensation mechanisms for disruption.</w:t>
      </w:r>
    </w:p>
    <w:p>
      <w:pPr>
        <w:pStyle w:val="ListParagraph"/>
        <w:numPr>
          <w:ilvl w:val="0"/>
          <w:numId w:val="2"/>
        </w:numPr>
        <w:spacing w:after="80"/>
      </w:pPr>
      <w:r>
        <w:rPr>
          <w:rFonts w:ascii="Arial" w:cs="Arial" w:eastAsia="Arial" w:hAnsi="Arial"/>
          <w:color w:val="1C1C1C"/>
          <w:sz w:val="22"/>
          <w:szCs w:val="22"/>
        </w:rPr>
        <w:t xml:space="preserve">Require ITU member states to report annually on implementation of GCI recommendations, with a public review mechanism.</w:t>
      </w:r>
    </w:p>
    <w:p>
      <w:pPr>
        <w:pStyle w:val="Heading2"/>
        <w:spacing w:after="100" w:before="280"/>
      </w:pPr>
      <w:r>
        <w:rPr>
          <w:rFonts w:ascii="Arial" w:cs="Arial" w:eastAsia="Arial" w:hAnsi="Arial"/>
          <w:b/>
          <w:bCs/>
          <w:color w:val="1A6EA8"/>
          <w:sz w:val="26"/>
          <w:szCs w:val="26"/>
        </w:rPr>
        <w:t xml:space="preserve">11.4 Ensuring Developing Country Voice in Digital Governance</w:t>
      </w:r>
    </w:p>
    <w:p>
      <w:pPr>
        <w:pStyle w:val="ListParagraph"/>
        <w:numPr>
          <w:ilvl w:val="0"/>
          <w:numId w:val="2"/>
        </w:numPr>
        <w:spacing w:after="80"/>
      </w:pPr>
      <w:r>
        <w:rPr>
          <w:rFonts w:ascii="Arial" w:cs="Arial" w:eastAsia="Arial" w:hAnsi="Arial"/>
          <w:color w:val="1C1C1C"/>
          <w:sz w:val="22"/>
          <w:szCs w:val="22"/>
        </w:rPr>
        <w:t xml:space="preserve">Reform ITU-T participation structures to provide dedicated funding for developing country delegations to attend all Study Group and Focus Group meetings.</w:t>
      </w:r>
    </w:p>
    <w:p>
      <w:pPr>
        <w:pStyle w:val="ListParagraph"/>
        <w:numPr>
          <w:ilvl w:val="0"/>
          <w:numId w:val="2"/>
        </w:numPr>
        <w:spacing w:after="80"/>
      </w:pPr>
      <w:r>
        <w:rPr>
          <w:rFonts w:ascii="Arial" w:cs="Arial" w:eastAsia="Arial" w:hAnsi="Arial"/>
          <w:color w:val="1C1C1C"/>
          <w:sz w:val="22"/>
          <w:szCs w:val="22"/>
        </w:rPr>
        <w:t xml:space="preserve">Establish a “Digital Equity Impact Assessment” requirement for all ITU-T Recommendations, assessing their implications for developing country implementers.</w:t>
      </w:r>
    </w:p>
    <w:p>
      <w:pPr>
        <w:pStyle w:val="ListParagraph"/>
        <w:numPr>
          <w:ilvl w:val="0"/>
          <w:numId w:val="2"/>
        </w:numPr>
        <w:spacing w:after="80"/>
      </w:pPr>
      <w:r>
        <w:rPr>
          <w:rFonts w:ascii="Arial" w:cs="Arial" w:eastAsia="Arial" w:hAnsi="Arial"/>
          <w:color w:val="1C1C1C"/>
          <w:sz w:val="22"/>
          <w:szCs w:val="22"/>
        </w:rPr>
        <w:t xml:space="preserve">Create a Global Digital Governance Capacity Building Fund under the GDC framework, with contributions from all UN member states on a tiered basis.</w:t>
      </w:r>
    </w:p>
    <w:p>
      <w:pPr>
        <w:pStyle w:val="Heading2"/>
        <w:spacing w:after="100" w:before="280"/>
      </w:pPr>
      <w:r>
        <w:rPr>
          <w:rFonts w:ascii="Arial" w:cs="Arial" w:eastAsia="Arial" w:hAnsi="Arial"/>
          <w:b/>
          <w:bCs/>
          <w:color w:val="1A6EA8"/>
          <w:sz w:val="26"/>
          <w:szCs w:val="26"/>
        </w:rPr>
        <w:t xml:space="preserve">11.5 Addressing Data Sovereignty</w:t>
      </w:r>
    </w:p>
    <w:p>
      <w:pPr>
        <w:pStyle w:val="ListParagraph"/>
        <w:numPr>
          <w:ilvl w:val="0"/>
          <w:numId w:val="2"/>
        </w:numPr>
        <w:spacing w:after="80"/>
      </w:pPr>
      <w:r>
        <w:rPr>
          <w:rFonts w:ascii="Arial" w:cs="Arial" w:eastAsia="Arial" w:hAnsi="Arial"/>
          <w:color w:val="1C1C1C"/>
          <w:sz w:val="22"/>
          <w:szCs w:val="22"/>
        </w:rPr>
        <w:t xml:space="preserve">Develop an ITU framework for “data for development,” including principles for data ownership, cross-border data flows, and equitable sharing of the value generated by data from developing countries.</w:t>
      </w:r>
    </w:p>
    <w:p>
      <w:pPr>
        <w:pStyle w:val="ListParagraph"/>
        <w:numPr>
          <w:ilvl w:val="0"/>
          <w:numId w:val="2"/>
        </w:numPr>
        <w:spacing w:after="80"/>
      </w:pPr>
      <w:r>
        <w:rPr>
          <w:rFonts w:ascii="Arial" w:cs="Arial" w:eastAsia="Arial" w:hAnsi="Arial"/>
          <w:color w:val="1C1C1C"/>
          <w:sz w:val="22"/>
          <w:szCs w:val="22"/>
        </w:rPr>
        <w:t xml:space="preserve">Support regional internet exchange points (IXPs) and data centre development in every region to reduce dependency on foreign infrastructure.</w:t>
      </w:r>
    </w:p>
    <w:p>
      <w:pPr>
        <w:pStyle w:val="ListParagraph"/>
        <w:numPr>
          <w:ilvl w:val="0"/>
          <w:numId w:val="2"/>
        </w:numPr>
        <w:spacing w:after="80"/>
      </w:pPr>
      <w:r>
        <w:rPr>
          <w:rFonts w:ascii="Arial" w:cs="Arial" w:eastAsia="Arial" w:hAnsi="Arial"/>
          <w:color w:val="1C1C1C"/>
          <w:sz w:val="22"/>
          <w:szCs w:val="22"/>
        </w:rPr>
        <w:t xml:space="preserve">Encourage technology transfer and open-source digital public infrastructure development, building on the India Stack model for other regions.</w:t>
      </w:r>
    </w:p>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12. Questions to Consider (QTCs)</w:t>
      </w:r>
    </w:p>
    <w:p>
      <w:pPr>
        <w:spacing w:after="130" w:line="316" w:lineRule="auto"/>
        <w:jc w:val="both"/>
      </w:pPr>
      <w:r>
        <w:rPr>
          <w:rFonts w:ascii="Arial" w:cs="Arial" w:eastAsia="Arial" w:hAnsi="Arial"/>
          <w:color w:val="1C1C1C"/>
          <w:sz w:val="22"/>
          <w:szCs w:val="22"/>
        </w:rPr>
        <w:t xml:space="preserve">Delegates are expected to come prepared to address the following questions in position papers, opening speeches, and committee debate: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EA8" w:sz="1"/>
              <w:left w:val="single" w:color="1A6EA8" w:sz="1"/>
              <w:bottom w:val="single" w:color="1A6EA8" w:sz="1"/>
              <w:right w:val="single" w:color="1A6EA8" w:sz="1"/>
            </w:tcBorders>
            <w:shd w:fill="1A6EA8" w:val="clear"/>
            <w:tcMar>
              <w:top w:type="dxa" w:w="80"/>
              <w:left w:type="dxa" w:w="160"/>
              <w:bottom w:type="dxa" w:w="80"/>
              <w:right w:type="dxa" w:w="160"/>
            </w:tcMar>
          </w:tcPr>
          <w:p>
            <w:r>
              <w:rPr>
                <w:rFonts w:ascii="Arial" w:cs="Arial" w:eastAsia="Arial" w:hAnsi="Arial"/>
                <w:b/>
                <w:bCs/>
                <w:color w:val="FFFFFF"/>
                <w:sz w:val="22"/>
                <w:szCs w:val="22"/>
              </w:rPr>
              <w:t xml:space="preserve">Questions to Consider</w:t>
            </w:r>
          </w:p>
        </w:tc>
      </w:tr>
      <w:tr>
        <w:tc>
          <w:tcPr>
            <w:tcBorders>
              <w:top w:val="single" w:color="1A6EA8" w:sz="1"/>
              <w:left w:val="single" w:color="1A6EA8" w:sz="1"/>
              <w:bottom w:val="single" w:color="1A6EA8" w:sz="1"/>
              <w:right w:val="single" w:color="1A6EA8" w:sz="1"/>
            </w:tcBorders>
            <w:shd w:fill="D9EAF7" w:val="clear"/>
            <w:tcMar>
              <w:top w:type="dxa" w:w="100"/>
              <w:left w:type="dxa" w:w="160"/>
              <w:bottom w:type="dxa" w:w="100"/>
              <w:right w:type="dxa" w:w="160"/>
            </w:tcMar>
          </w:tcPr>
          <w:p>
            <w:pPr>
              <w:spacing w:after="80"/>
            </w:pPr>
            <w:r>
              <w:rPr>
                <w:rFonts w:ascii="Arial" w:cs="Arial" w:eastAsia="Arial" w:hAnsi="Arial"/>
                <w:color w:val="1C1C1C"/>
                <w:sz w:val="21"/>
                <w:szCs w:val="21"/>
              </w:rPr>
              <w:t xml:space="preserve">1.  Does your country support a binding global AI governance framework, or a voluntary standards-based approach? How does your position account for the needs and capacities of developing countries?</w:t>
            </w:r>
          </w:p>
          <w:p>
            <w:pPr>
              <w:spacing w:after="80"/>
            </w:pPr>
            <w:r>
              <w:rPr>
                <w:rFonts w:ascii="Arial" w:cs="Arial" w:eastAsia="Arial" w:hAnsi="Arial"/>
                <w:color w:val="1C1C1C"/>
                <w:sz w:val="21"/>
                <w:szCs w:val="21"/>
              </w:rPr>
              <w:t xml:space="preserve">2.  What specific reforms to ITU’s standardization processes would your country support to ensure more inclusive participation by developing country delegations, civil society, and academia?</w:t>
            </w:r>
          </w:p>
          <w:p>
            <w:pPr>
              <w:spacing w:after="80"/>
            </w:pPr>
            <w:r>
              <w:rPr>
                <w:rFonts w:ascii="Arial" w:cs="Arial" w:eastAsia="Arial" w:hAnsi="Arial"/>
                <w:color w:val="1C1C1C"/>
                <w:sz w:val="21"/>
                <w:szCs w:val="21"/>
              </w:rPr>
              <w:t xml:space="preserve">3.  How should the $1.6 trillion digital infrastructure investment gap be financed? What role should multilateral development banks, national governments, the private sector, and new financing mechanisms each play?</w:t>
            </w:r>
          </w:p>
          <w:p>
            <w:pPr>
              <w:spacing w:after="80"/>
            </w:pPr>
            <w:r>
              <w:rPr>
                <w:rFonts w:ascii="Arial" w:cs="Arial" w:eastAsia="Arial" w:hAnsi="Arial"/>
                <w:color w:val="1C1C1C"/>
                <w:sz w:val="21"/>
                <w:szCs w:val="21"/>
              </w:rPr>
              <w:t xml:space="preserve">4.  How should the ITU approach the governance of low-earth orbit (LEO) satellite internet constellations, and what obligations should operators have toward connecting underserved communities?</w:t>
            </w:r>
          </w:p>
          <w:p>
            <w:pPr>
              <w:spacing w:after="80"/>
            </w:pPr>
            <w:r>
              <w:rPr>
                <w:rFonts w:ascii="Arial" w:cs="Arial" w:eastAsia="Arial" w:hAnsi="Arial"/>
                <w:color w:val="1C1C1C"/>
                <w:sz w:val="21"/>
                <w:szCs w:val="21"/>
              </w:rPr>
              <w:t xml:space="preserve">5.  What is the appropriate role of the ITU versus other bodies (IGF, OECD, WTO, regional organizations) in AI governance? How should overlapping mandates be managed to avoid fragmentation?</w:t>
            </w:r>
          </w:p>
          <w:p>
            <w:pPr>
              <w:spacing w:after="80"/>
            </w:pPr>
            <w:r>
              <w:rPr>
                <w:rFonts w:ascii="Arial" w:cs="Arial" w:eastAsia="Arial" w:hAnsi="Arial"/>
                <w:color w:val="1C1C1C"/>
                <w:sz w:val="21"/>
                <w:szCs w:val="21"/>
              </w:rPr>
              <w:t xml:space="preserve">6.  How can cybersecurity standards be designed to protect both critical infrastructure and individual human rights, avoiding their misuse as tools of authoritarian control?</w:t>
            </w:r>
          </w:p>
          <w:p>
            <w:pPr>
              <w:spacing w:after="80"/>
            </w:pPr>
            <w:r>
              <w:rPr>
                <w:rFonts w:ascii="Arial" w:cs="Arial" w:eastAsia="Arial" w:hAnsi="Arial"/>
                <w:color w:val="1C1C1C"/>
                <w:sz w:val="21"/>
                <w:szCs w:val="21"/>
              </w:rPr>
              <w:t xml:space="preserve">7.  What mechanisms can ensure that the data generated by citizens of developing countries generates economic value for those countries, rather than being extracted by foreign technology corporations?</w:t>
            </w:r>
          </w:p>
          <w:p>
            <w:pPr>
              <w:spacing w:after="80"/>
            </w:pPr>
            <w:r>
              <w:rPr>
                <w:rFonts w:ascii="Arial" w:cs="Arial" w:eastAsia="Arial" w:hAnsi="Arial"/>
                <w:color w:val="1C1C1C"/>
                <w:sz w:val="21"/>
                <w:szCs w:val="21"/>
              </w:rPr>
              <w:t xml:space="preserve">8.  How should ITU member states respond to the “compute divide” — the growing gap in AI computing infrastructure between high-income and low-income countries? Are compute-sharing arrangements or joint AI infrastructure investments feasible?</w:t>
            </w:r>
          </w:p>
          <w:p>
            <w:pPr>
              <w:spacing w:after="80"/>
            </w:pPr>
            <w:r>
              <w:rPr>
                <w:rFonts w:ascii="Arial" w:cs="Arial" w:eastAsia="Arial" w:hAnsi="Arial"/>
                <w:color w:val="1C1C1C"/>
                <w:sz w:val="21"/>
                <w:szCs w:val="21"/>
              </w:rPr>
              <w:t xml:space="preserve">9.  What role should digital public infrastructure (DPI) — on the model of India’s Aadhaar/UPI system — play in achieving universal connectivity and digital inclusion? How can ITU support DPI development globally?</w:t>
            </w:r>
          </w:p>
          <w:p>
            <w:pPr>
              <w:spacing w:after="80"/>
            </w:pPr>
            <w:r>
              <w:rPr>
                <w:rFonts w:ascii="Arial" w:cs="Arial" w:eastAsia="Arial" w:hAnsi="Arial"/>
                <w:color w:val="1C1C1C"/>
                <w:sz w:val="21"/>
                <w:szCs w:val="21"/>
              </w:rPr>
              <w:t xml:space="preserve">10. How should the international community address the concentration of submarine cable and cloud infrastructure ownership in a small number of large corporations, particularly as it affects digital sovereignty of developing nations?</w:t>
            </w:r>
          </w:p>
        </w:tc>
      </w:tr>
    </w:tbl>
    <w:p>
      <w:r>
        <w:br w:type="page"/>
      </w:r>
    </w:p>
    <w:p>
      <w:pPr>
        <w:pStyle w:val="Heading1"/>
        <w:pBdr>
          <w:bottom w:val="single" w:color="C8A020" w:sz="8" w:space="4"/>
        </w:pBdr>
        <w:spacing w:after="160" w:before="400"/>
      </w:pPr>
      <w:r>
        <w:rPr>
          <w:rFonts w:ascii="Arial" w:cs="Arial" w:eastAsia="Arial" w:hAnsi="Arial"/>
          <w:b/>
          <w:bCs/>
          <w:color w:val="0D3B6E"/>
          <w:sz w:val="34"/>
          <w:szCs w:val="34"/>
        </w:rPr>
        <w:t xml:space="preserve">13. Sources and Further Reading</w:t>
      </w:r>
    </w:p>
    <w:p>
      <w:pPr>
        <w:pStyle w:val="Heading2"/>
        <w:spacing w:after="100" w:before="280"/>
      </w:pPr>
      <w:r>
        <w:rPr>
          <w:rFonts w:ascii="Arial" w:cs="Arial" w:eastAsia="Arial" w:hAnsi="Arial"/>
          <w:b/>
          <w:bCs/>
          <w:color w:val="1A6EA8"/>
          <w:sz w:val="26"/>
          <w:szCs w:val="26"/>
        </w:rPr>
        <w:t xml:space="preserve">13.1 ITU Primary Sources</w:t>
      </w:r>
    </w:p>
    <w:p>
      <w:pPr>
        <w:pStyle w:val="ListParagraph"/>
        <w:numPr>
          <w:ilvl w:val="0"/>
          <w:numId w:val="2"/>
        </w:numPr>
        <w:spacing w:after="80"/>
      </w:pPr>
      <w:r>
        <w:rPr>
          <w:rFonts w:ascii="Arial" w:cs="Arial" w:eastAsia="Arial" w:hAnsi="Arial"/>
          <w:color w:val="1C1C1C"/>
          <w:sz w:val="22"/>
          <w:szCs w:val="22"/>
        </w:rPr>
        <w:t xml:space="preserve">ITU Facts and Figures 2025 (November 2025) — itu.int/en/mediacentre/Pages/PR-2025-11-17-Facts-and-Figures.aspx</w:t>
      </w:r>
    </w:p>
    <w:p>
      <w:pPr>
        <w:pStyle w:val="ListParagraph"/>
        <w:numPr>
          <w:ilvl w:val="0"/>
          <w:numId w:val="2"/>
        </w:numPr>
        <w:spacing w:after="80"/>
      </w:pPr>
      <w:r>
        <w:rPr>
          <w:rFonts w:ascii="Arial" w:cs="Arial" w:eastAsia="Arial" w:hAnsi="Arial"/>
          <w:color w:val="1C1C1C"/>
          <w:sz w:val="22"/>
          <w:szCs w:val="22"/>
        </w:rPr>
        <w:t xml:space="preserve">ITU Annual Report 2024 — itu.int/en/council/planning/Documents/ITU-Annual-report-2024-english.pdf</w:t>
      </w:r>
    </w:p>
    <w:p>
      <w:pPr>
        <w:pStyle w:val="ListParagraph"/>
        <w:numPr>
          <w:ilvl w:val="0"/>
          <w:numId w:val="2"/>
        </w:numPr>
        <w:spacing w:after="80"/>
      </w:pPr>
      <w:r>
        <w:rPr>
          <w:rFonts w:ascii="Arial" w:cs="Arial" w:eastAsia="Arial" w:hAnsi="Arial"/>
          <w:color w:val="1C1C1C"/>
          <w:sz w:val="22"/>
          <w:szCs w:val="22"/>
        </w:rPr>
        <w:t xml:space="preserve">ITU Global Cybersecurity Index 2024 (5th Edition) — itu.int/epublications/publication/global-cybersecurity-index-2024</w:t>
      </w:r>
    </w:p>
    <w:p>
      <w:pPr>
        <w:pStyle w:val="ListParagraph"/>
        <w:numPr>
          <w:ilvl w:val="0"/>
          <w:numId w:val="2"/>
        </w:numPr>
        <w:spacing w:after="80"/>
      </w:pPr>
      <w:r>
        <w:rPr>
          <w:rFonts w:ascii="Arial" w:cs="Arial" w:eastAsia="Arial" w:hAnsi="Arial"/>
          <w:color w:val="1C1C1C"/>
          <w:sz w:val="22"/>
          <w:szCs w:val="22"/>
        </w:rPr>
        <w:t xml:space="preserve">ITU Annual AI Governance Report 2025 — itu.int/epublications/publication/the-annual-ai-governance-report-2025-steering-the-future-of-ai</w:t>
      </w:r>
    </w:p>
    <w:p>
      <w:pPr>
        <w:pStyle w:val="ListParagraph"/>
        <w:numPr>
          <w:ilvl w:val="0"/>
          <w:numId w:val="2"/>
        </w:numPr>
        <w:spacing w:after="80"/>
      </w:pPr>
      <w:r>
        <w:rPr>
          <w:rFonts w:ascii="Arial" w:cs="Arial" w:eastAsia="Arial" w:hAnsi="Arial"/>
          <w:color w:val="1C1C1C"/>
          <w:sz w:val="22"/>
          <w:szCs w:val="22"/>
        </w:rPr>
        <w:t xml:space="preserve">ITU AI Standards for Global Impact: From Governance to Action (2025) — itu.int/epublications/publication/ai-standards-for-global-impact-from-governance-to-action</w:t>
      </w:r>
    </w:p>
    <w:p>
      <w:pPr>
        <w:pStyle w:val="ListParagraph"/>
        <w:numPr>
          <w:ilvl w:val="0"/>
          <w:numId w:val="2"/>
        </w:numPr>
        <w:spacing w:after="80"/>
      </w:pPr>
      <w:r>
        <w:rPr>
          <w:rFonts w:ascii="Arial" w:cs="Arial" w:eastAsia="Arial" w:hAnsi="Arial"/>
          <w:color w:val="1C1C1C"/>
          <w:sz w:val="22"/>
          <w:szCs w:val="22"/>
        </w:rPr>
        <w:t xml:space="preserve">ITU Strategic Plan 2024–2027 — itu.int/en/council/planning/Pages/strategic-plan.aspx</w:t>
      </w:r>
    </w:p>
    <w:p>
      <w:pPr>
        <w:pStyle w:val="ListParagraph"/>
        <w:numPr>
          <w:ilvl w:val="0"/>
          <w:numId w:val="2"/>
        </w:numPr>
        <w:spacing w:after="80"/>
      </w:pPr>
      <w:r>
        <w:rPr>
          <w:rFonts w:ascii="Arial" w:cs="Arial" w:eastAsia="Arial" w:hAnsi="Arial"/>
          <w:color w:val="1C1C1C"/>
          <w:sz w:val="22"/>
          <w:szCs w:val="22"/>
        </w:rPr>
        <w:t xml:space="preserve">WTDC-25 Overview, Baku 2025 — itu.int [World Telecommunication Development Conference]</w:t>
      </w:r>
    </w:p>
    <w:p>
      <w:pPr>
        <w:pStyle w:val="ListParagraph"/>
        <w:numPr>
          <w:ilvl w:val="0"/>
          <w:numId w:val="2"/>
        </w:numPr>
        <w:spacing w:after="80"/>
      </w:pPr>
      <w:r>
        <w:rPr>
          <w:rFonts w:ascii="Arial" w:cs="Arial" w:eastAsia="Arial" w:hAnsi="Arial"/>
          <w:color w:val="1C1C1C"/>
          <w:sz w:val="22"/>
          <w:szCs w:val="22"/>
        </w:rPr>
        <w:t xml:space="preserve">ITU Digital Infrastructure Investment Initiative (DIII) — itu.int/hub/2025/01/digital-infrastructure-investment-where-will-the-billions-come-from/</w:t>
      </w:r>
    </w:p>
    <w:p>
      <w:pPr>
        <w:pStyle w:val="ListParagraph"/>
        <w:numPr>
          <w:ilvl w:val="0"/>
          <w:numId w:val="2"/>
        </w:numPr>
        <w:spacing w:after="80"/>
      </w:pPr>
      <w:r>
        <w:rPr>
          <w:rFonts w:ascii="Arial" w:cs="Arial" w:eastAsia="Arial" w:hAnsi="Arial"/>
          <w:color w:val="1C1C1C"/>
          <w:sz w:val="22"/>
          <w:szCs w:val="22"/>
        </w:rPr>
        <w:t xml:space="preserve">ITU Strengthening the World’s Digital Backbone (2025) — itu.int/hub/2025/02/strengthening-the-worlds-digital-backbone/</w:t>
      </w:r>
    </w:p>
    <w:p>
      <w:pPr>
        <w:pStyle w:val="Heading2"/>
        <w:spacing w:after="100" w:before="280"/>
      </w:pPr>
      <w:r>
        <w:rPr>
          <w:rFonts w:ascii="Arial" w:cs="Arial" w:eastAsia="Arial" w:hAnsi="Arial"/>
          <w:b/>
          <w:bCs/>
          <w:color w:val="1A6EA8"/>
          <w:sz w:val="26"/>
          <w:szCs w:val="26"/>
        </w:rPr>
        <w:t xml:space="preserve">13.2 UN System Documents</w:t>
      </w:r>
    </w:p>
    <w:p>
      <w:pPr>
        <w:pStyle w:val="ListParagraph"/>
        <w:numPr>
          <w:ilvl w:val="0"/>
          <w:numId w:val="2"/>
        </w:numPr>
        <w:spacing w:after="80"/>
      </w:pPr>
      <w:r>
        <w:rPr>
          <w:rFonts w:ascii="Arial" w:cs="Arial" w:eastAsia="Arial" w:hAnsi="Arial"/>
          <w:color w:val="1C1C1C"/>
          <w:sz w:val="22"/>
          <w:szCs w:val="22"/>
        </w:rPr>
        <w:t xml:space="preserve">UN Global Digital Compact (September 2024) — un.org/global-digital-compact</w:t>
      </w:r>
    </w:p>
    <w:p>
      <w:pPr>
        <w:pStyle w:val="ListParagraph"/>
        <w:numPr>
          <w:ilvl w:val="0"/>
          <w:numId w:val="2"/>
        </w:numPr>
        <w:spacing w:after="80"/>
      </w:pPr>
      <w:r>
        <w:rPr>
          <w:rFonts w:ascii="Arial" w:cs="Arial" w:eastAsia="Arial" w:hAnsi="Arial"/>
          <w:color w:val="1C1C1C"/>
          <w:sz w:val="22"/>
          <w:szCs w:val="22"/>
        </w:rPr>
        <w:t xml:space="preserve">WSIS+20 Forum High-Level Event 2024: Outcome Document — itu.int/net4/wsis/forum/2024/Home/Outcomes</w:t>
      </w:r>
    </w:p>
    <w:p>
      <w:pPr>
        <w:pStyle w:val="ListParagraph"/>
        <w:numPr>
          <w:ilvl w:val="0"/>
          <w:numId w:val="2"/>
        </w:numPr>
        <w:spacing w:after="80"/>
      </w:pPr>
      <w:r>
        <w:rPr>
          <w:rFonts w:ascii="Arial" w:cs="Arial" w:eastAsia="Arial" w:hAnsi="Arial"/>
          <w:color w:val="1C1C1C"/>
          <w:sz w:val="22"/>
          <w:szCs w:val="22"/>
        </w:rPr>
        <w:t xml:space="preserve">WSIS+20 Report: Building a Digital Future for All — itu.int/en/itu-wsis/Documents/WSIS20/WSIS+20Report.pdf</w:t>
      </w:r>
    </w:p>
    <w:p>
      <w:pPr>
        <w:pStyle w:val="ListParagraph"/>
        <w:numPr>
          <w:ilvl w:val="0"/>
          <w:numId w:val="2"/>
        </w:numPr>
        <w:spacing w:after="80"/>
      </w:pPr>
      <w:r>
        <w:rPr>
          <w:rFonts w:ascii="Arial" w:cs="Arial" w:eastAsia="Arial" w:hAnsi="Arial"/>
          <w:color w:val="1C1C1C"/>
          <w:sz w:val="22"/>
          <w:szCs w:val="22"/>
        </w:rPr>
        <w:t xml:space="preserve">UN DESA: ITU SDG Implementation Report 2025 — sdgs.un.org/un-system-sdg-implementation/international-telecommunication-union-itu-60340</w:t>
      </w:r>
    </w:p>
    <w:p>
      <w:pPr>
        <w:pStyle w:val="ListParagraph"/>
        <w:numPr>
          <w:ilvl w:val="0"/>
          <w:numId w:val="2"/>
        </w:numPr>
        <w:spacing w:after="80"/>
      </w:pPr>
      <w:r>
        <w:rPr>
          <w:rFonts w:ascii="Arial" w:cs="Arial" w:eastAsia="Arial" w:hAnsi="Arial"/>
          <w:color w:val="1C1C1C"/>
          <w:sz w:val="22"/>
          <w:szCs w:val="22"/>
        </w:rPr>
        <w:t xml:space="preserve">UNCTAD CSTD 2024–2025 Priority Theme: ITU Contribution — unctad.org/system/files/non-official-document/cstd2024-25_d_c11_itu_en.pdf</w:t>
      </w:r>
    </w:p>
    <w:p>
      <w:pPr>
        <w:pStyle w:val="ListParagraph"/>
        <w:numPr>
          <w:ilvl w:val="0"/>
          <w:numId w:val="2"/>
        </w:numPr>
        <w:spacing w:after="80"/>
      </w:pPr>
      <w:r>
        <w:rPr>
          <w:rFonts w:ascii="Arial" w:cs="Arial" w:eastAsia="Arial" w:hAnsi="Arial"/>
          <w:color w:val="1C1C1C"/>
          <w:sz w:val="22"/>
          <w:szCs w:val="22"/>
        </w:rPr>
        <w:t xml:space="preserve">Our Common Agenda Policy Brief 5: A Global Digital Compact — un.org/en/common-agenda</w:t>
      </w:r>
    </w:p>
    <w:p>
      <w:pPr>
        <w:pStyle w:val="Heading2"/>
        <w:spacing w:after="100" w:before="280"/>
      </w:pPr>
      <w:r>
        <w:rPr>
          <w:rFonts w:ascii="Arial" w:cs="Arial" w:eastAsia="Arial" w:hAnsi="Arial"/>
          <w:b/>
          <w:bCs/>
          <w:color w:val="1A6EA8"/>
          <w:sz w:val="26"/>
          <w:szCs w:val="26"/>
        </w:rPr>
        <w:t xml:space="preserve">13.3 AI Governance and Standards</w:t>
      </w:r>
    </w:p>
    <w:p>
      <w:pPr>
        <w:pStyle w:val="ListParagraph"/>
        <w:numPr>
          <w:ilvl w:val="0"/>
          <w:numId w:val="2"/>
        </w:numPr>
        <w:spacing w:after="80"/>
      </w:pPr>
      <w:r>
        <w:rPr>
          <w:rFonts w:ascii="Arial" w:cs="Arial" w:eastAsia="Arial" w:hAnsi="Arial"/>
          <w:color w:val="1C1C1C"/>
          <w:sz w:val="22"/>
          <w:szCs w:val="22"/>
        </w:rPr>
        <w:t xml:space="preserve">AI for Good Global Summit 2025 — aiforgood.itu.int/summit25/</w:t>
      </w:r>
    </w:p>
    <w:p>
      <w:pPr>
        <w:pStyle w:val="ListParagraph"/>
        <w:numPr>
          <w:ilvl w:val="0"/>
          <w:numId w:val="2"/>
        </w:numPr>
        <w:spacing w:after="80"/>
      </w:pPr>
      <w:r>
        <w:rPr>
          <w:rFonts w:ascii="Arial" w:cs="Arial" w:eastAsia="Arial" w:hAnsi="Arial"/>
          <w:color w:val="1C1C1C"/>
          <w:sz w:val="22"/>
          <w:szCs w:val="22"/>
        </w:rPr>
        <w:t xml:space="preserve">AI for Good: International Standards for an AI-Enabled Future — aiforgood.itu.int/international-standards-for-an-ai-enabled-future/</w:t>
      </w:r>
    </w:p>
    <w:p>
      <w:pPr>
        <w:pStyle w:val="ListParagraph"/>
        <w:numPr>
          <w:ilvl w:val="0"/>
          <w:numId w:val="2"/>
        </w:numPr>
        <w:spacing w:after="80"/>
      </w:pPr>
      <w:r>
        <w:rPr>
          <w:rFonts w:ascii="Arial" w:cs="Arial" w:eastAsia="Arial" w:hAnsi="Arial"/>
          <w:color w:val="1C1C1C"/>
          <w:sz w:val="22"/>
          <w:szCs w:val="22"/>
        </w:rPr>
        <w:t xml:space="preserve">AI Standards Exchange Database — aiforgood.itu.int/ai-standards-exchange/</w:t>
      </w:r>
    </w:p>
    <w:p>
      <w:pPr>
        <w:pStyle w:val="ListParagraph"/>
        <w:numPr>
          <w:ilvl w:val="0"/>
          <w:numId w:val="2"/>
        </w:numPr>
        <w:spacing w:after="80"/>
      </w:pPr>
      <w:r>
        <w:rPr>
          <w:rFonts w:ascii="Arial" w:cs="Arial" w:eastAsia="Arial" w:hAnsi="Arial"/>
          <w:color w:val="1C1C1C"/>
          <w:sz w:val="22"/>
          <w:szCs w:val="22"/>
        </w:rPr>
        <w:t xml:space="preserve">AI Governance by ITU — regulations.ai/regulations/RAI-XT-GO-SUMMARY-2026</w:t>
      </w:r>
    </w:p>
    <w:p>
      <w:pPr>
        <w:pStyle w:val="ListParagraph"/>
        <w:numPr>
          <w:ilvl w:val="0"/>
          <w:numId w:val="2"/>
        </w:numPr>
        <w:spacing w:after="80"/>
      </w:pPr>
      <w:r>
        <w:rPr>
          <w:rFonts w:ascii="Arial" w:cs="Arial" w:eastAsia="Arial" w:hAnsi="Arial"/>
          <w:color w:val="1C1C1C"/>
          <w:sz w:val="22"/>
          <w:szCs w:val="22"/>
        </w:rPr>
        <w:t xml:space="preserve">AI Policy Summit 2024 / Navigating AI Standards — aiforgood.itu.int/navigating-ai-standards</w:t>
      </w:r>
    </w:p>
    <w:p>
      <w:pPr>
        <w:pStyle w:val="Heading2"/>
        <w:spacing w:after="100" w:before="280"/>
      </w:pPr>
      <w:r>
        <w:rPr>
          <w:rFonts w:ascii="Arial" w:cs="Arial" w:eastAsia="Arial" w:hAnsi="Arial"/>
          <w:b/>
          <w:bCs/>
          <w:color w:val="1A6EA8"/>
          <w:sz w:val="26"/>
          <w:szCs w:val="26"/>
        </w:rPr>
        <w:t xml:space="preserve">13.4 Connectivity and Infrastructure</w:t>
      </w:r>
    </w:p>
    <w:p>
      <w:pPr>
        <w:pStyle w:val="ListParagraph"/>
        <w:numPr>
          <w:ilvl w:val="0"/>
          <w:numId w:val="2"/>
        </w:numPr>
        <w:spacing w:after="80"/>
      </w:pPr>
      <w:r>
        <w:rPr>
          <w:rFonts w:ascii="Arial" w:cs="Arial" w:eastAsia="Arial" w:hAnsi="Arial"/>
          <w:color w:val="1C1C1C"/>
          <w:sz w:val="22"/>
          <w:szCs w:val="22"/>
        </w:rPr>
        <w:t xml:space="preserve">ITU Measuring Digital Development: Facts and Figures 2025 (analysis) — libertify.com/interactive-library/itu-digital-development-facts-figures-2025/</w:t>
      </w:r>
    </w:p>
    <w:p>
      <w:pPr>
        <w:pStyle w:val="ListParagraph"/>
        <w:numPr>
          <w:ilvl w:val="0"/>
          <w:numId w:val="2"/>
        </w:numPr>
        <w:spacing w:after="80"/>
      </w:pPr>
      <w:r>
        <w:rPr>
          <w:rFonts w:ascii="Arial" w:cs="Arial" w:eastAsia="Arial" w:hAnsi="Arial"/>
          <w:color w:val="1C1C1C"/>
          <w:sz w:val="22"/>
          <w:szCs w:val="22"/>
        </w:rPr>
        <w:t xml:space="preserve">Africa’s Digital Divide: Opensignal Global Network Excellence Index (2025) — opensignal.com</w:t>
      </w:r>
    </w:p>
    <w:p>
      <w:pPr>
        <w:pStyle w:val="ListParagraph"/>
        <w:numPr>
          <w:ilvl w:val="0"/>
          <w:numId w:val="2"/>
        </w:numPr>
        <w:spacing w:after="80"/>
      </w:pPr>
      <w:r>
        <w:rPr>
          <w:rFonts w:ascii="Arial" w:cs="Arial" w:eastAsia="Arial" w:hAnsi="Arial"/>
          <w:color w:val="1C1C1C"/>
          <w:sz w:val="22"/>
          <w:szCs w:val="22"/>
        </w:rPr>
        <w:t xml:space="preserve">At What Cost Are We Bridging Africa’s Digital Divide? (Global Voices, 2025) — globalvoices.org</w:t>
      </w:r>
    </w:p>
    <w:p>
      <w:pPr>
        <w:pStyle w:val="ListParagraph"/>
        <w:numPr>
          <w:ilvl w:val="0"/>
          <w:numId w:val="2"/>
        </w:numPr>
        <w:spacing w:after="80"/>
      </w:pPr>
      <w:r>
        <w:rPr>
          <w:rFonts w:ascii="Arial" w:cs="Arial" w:eastAsia="Arial" w:hAnsi="Arial"/>
          <w:color w:val="1C1C1C"/>
          <w:sz w:val="22"/>
          <w:szCs w:val="22"/>
        </w:rPr>
        <w:t xml:space="preserve">Mo Ibrahim Foundation: Infrastructure in Africa — Unpacking the Digital Divide (2025) — mo.ibrahim.foundation</w:t>
      </w:r>
    </w:p>
    <w:p>
      <w:pPr>
        <w:pStyle w:val="ListParagraph"/>
        <w:numPr>
          <w:ilvl w:val="0"/>
          <w:numId w:val="2"/>
        </w:numPr>
        <w:spacing w:after="80"/>
      </w:pPr>
      <w:r>
        <w:rPr>
          <w:rFonts w:ascii="Arial" w:cs="Arial" w:eastAsia="Arial" w:hAnsi="Arial"/>
          <w:color w:val="1C1C1C"/>
          <w:sz w:val="22"/>
          <w:szCs w:val="22"/>
        </w:rPr>
        <w:t xml:space="preserve">World Bank / ITU: 10% mobile broadband penetration increase → 2.5% per-capita GDP rise — World Bank/ITU joint research</w:t>
      </w:r>
    </w:p>
    <w:p>
      <w:pPr>
        <w:pStyle w:val="Heading2"/>
        <w:spacing w:after="100" w:before="280"/>
      </w:pPr>
      <w:r>
        <w:rPr>
          <w:rFonts w:ascii="Arial" w:cs="Arial" w:eastAsia="Arial" w:hAnsi="Arial"/>
          <w:b/>
          <w:bCs/>
          <w:color w:val="1A6EA8"/>
          <w:sz w:val="26"/>
          <w:szCs w:val="26"/>
        </w:rPr>
        <w:t xml:space="preserve">13.5 Cybersecurity</w:t>
      </w:r>
    </w:p>
    <w:p>
      <w:pPr>
        <w:pStyle w:val="ListParagraph"/>
        <w:numPr>
          <w:ilvl w:val="0"/>
          <w:numId w:val="2"/>
        </w:numPr>
        <w:spacing w:after="80"/>
      </w:pPr>
      <w:r>
        <w:rPr>
          <w:rFonts w:ascii="Arial" w:cs="Arial" w:eastAsia="Arial" w:hAnsi="Arial"/>
          <w:color w:val="1C1C1C"/>
          <w:sz w:val="22"/>
          <w:szCs w:val="22"/>
        </w:rPr>
        <w:t xml:space="preserve">ITU-T SG17 Security Standards Overview — itu.int/en/ITU-T/studygroups/2022-2024/17/Pages/default.aspx</w:t>
      </w:r>
    </w:p>
    <w:p>
      <w:pPr>
        <w:pStyle w:val="ListParagraph"/>
        <w:numPr>
          <w:ilvl w:val="0"/>
          <w:numId w:val="2"/>
        </w:numPr>
        <w:spacing w:after="80"/>
      </w:pPr>
      <w:r>
        <w:rPr>
          <w:rFonts w:ascii="Arial" w:cs="Arial" w:eastAsia="Arial" w:hAnsi="Arial"/>
          <w:color w:val="1C1C1C"/>
          <w:sz w:val="22"/>
          <w:szCs w:val="22"/>
        </w:rPr>
        <w:t xml:space="preserve">ITU-T 5G Cybersecurity Study Q3/2 — itu.int/dms_pub/itu-d/opb/stg/D-STG-SG02.03.2-2024-PDF-E.pdf</w:t>
      </w:r>
    </w:p>
    <w:p>
      <w:pPr>
        <w:pStyle w:val="ListParagraph"/>
        <w:numPr>
          <w:ilvl w:val="0"/>
          <w:numId w:val="2"/>
        </w:numPr>
        <w:spacing w:after="80"/>
      </w:pPr>
      <w:r>
        <w:rPr>
          <w:rFonts w:ascii="Arial" w:cs="Arial" w:eastAsia="Arial" w:hAnsi="Arial"/>
          <w:color w:val="1C1C1C"/>
          <w:sz w:val="22"/>
          <w:szCs w:val="22"/>
        </w:rPr>
        <w:t xml:space="preserve">Secure Identity Alliance: OSIA as ITU-T X.1281 Standard (2024) — secureidentityalliance.org</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8A020" w:sz="1"/>
              <w:left w:val="single" w:color="C8A020" w:sz="1"/>
              <w:bottom w:val="single" w:color="C8A020" w:sz="1"/>
              <w:right w:val="single" w:color="C8A020" w:sz="1"/>
            </w:tcBorders>
            <w:shd w:fill="C8A020" w:val="clear"/>
            <w:tcMar>
              <w:top w:type="dxa" w:w="80"/>
              <w:left w:type="dxa" w:w="160"/>
              <w:bottom w:type="dxa" w:w="80"/>
              <w:right w:type="dxa" w:w="160"/>
            </w:tcMar>
          </w:tcPr>
          <w:p>
            <w:r>
              <w:rPr>
                <w:rFonts w:ascii="Arial" w:cs="Arial" w:eastAsia="Arial" w:hAnsi="Arial"/>
                <w:b/>
                <w:bCs/>
                <w:color w:val="FFFFFF"/>
                <w:sz w:val="22"/>
                <w:szCs w:val="22"/>
              </w:rPr>
              <w:t xml:space="preserve">Note to Delegates</w:t>
            </w:r>
          </w:p>
        </w:tc>
      </w:tr>
      <w:tr>
        <w:tc>
          <w:tcPr>
            <w:tcBorders>
              <w:top w:val="single" w:color="C8A020" w:sz="1"/>
              <w:left w:val="single" w:color="C8A020" w:sz="1"/>
              <w:bottom w:val="single" w:color="C8A020" w:sz="1"/>
              <w:right w:val="single" w:color="C8A020" w:sz="1"/>
            </w:tcBorders>
            <w:shd w:fill="D4F0F3" w:val="clear"/>
            <w:tcMar>
              <w:top w:type="dxa" w:w="100"/>
              <w:left w:type="dxa" w:w="160"/>
              <w:bottom w:type="dxa" w:w="100"/>
              <w:right w:type="dxa" w:w="160"/>
            </w:tcMar>
          </w:tcPr>
          <w:p>
            <w:pPr>
              <w:spacing w:after="80"/>
            </w:pPr>
            <w:r>
              <w:rPr>
                <w:rFonts w:ascii="Arial" w:cs="Arial" w:eastAsia="Arial" w:hAnsi="Arial"/>
                <w:color w:val="1C1C1C"/>
                <w:sz w:val="21"/>
                <w:szCs w:val="21"/>
              </w:rPr>
              <w:t xml:space="preserve">This Background Guide provides a foundation, not a ceiling. Delegates are strongly encouraged to review their assigned country’s specific submissions to the ITU-T Study Groups, GCI 2024 profile, WSIS+20 submissions, and GDC position. Key resources include the ITU AI for Good platform (aiforgood.itu.int), the ITU’s Annual Report 2024, the Facts and Figures 2025 report, and the AI Standards for Global Impact 2025 publication. Position papers should engage substantively with the three agenda pillars — standards, security, and connectivity — and the Questions to Consider in Section 12.</w:t>
            </w:r>
          </w:p>
        </w:tc>
      </w:tr>
    </w:tbl>
    <w:p>
      <w:pPr>
        <w:spacing w:after="160"/>
      </w:pPr>
      <w:r>
        <w:t xml:space="preserve"/>
      </w:r>
    </w:p>
    <w:p>
      <w:pPr>
        <w:spacing w:before="200"/>
        <w:jc w:val="center"/>
      </w:pPr>
      <w:r>
        <w:rPr>
          <w:rFonts w:ascii="Arial" w:cs="Arial" w:eastAsia="Arial" w:hAnsi="Arial"/>
          <w:i/>
          <w:iCs/>
          <w:color w:val="4A4A4A"/>
          <w:sz w:val="20"/>
          <w:szCs w:val="20"/>
        </w:rPr>
        <w:t xml:space="preserve">— End of Background Guide —</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3B6E" w:sz="6" w:space="2"/>
      </w:pBdr>
      <w:tabs>
        <w:tab w:val="right" w:pos="9026"/>
      </w:tabs>
    </w:pPr>
    <w:r>
      <w:rPr>
        <w:rFonts w:ascii="Arial" w:cs="Arial" w:eastAsia="Arial" w:hAnsi="Arial"/>
        <w:color w:val="4A4A4A"/>
        <w:sz w:val="16"/>
        <w:szCs w:val="16"/>
      </w:rPr>
      <w:t xml:space="preserve">Secure Digital Infrastructure, AI Governance &amp; Universal Connectivity in Emerging Economies</w:t>
    </w:r>
    <w:r>
      <w:rPr>
        <w:sz w:val="16"/>
        <w:szCs w:val="16"/>
      </w:rPr>
      <w:t xml:space="preserve">	</w:t>
    </w:r>
    <w:r>
      <w:rPr>
        <w:rFonts w:ascii="Arial" w:cs="Arial" w:eastAsia="Arial" w:hAnsi="Arial"/>
        <w:color w:val="4A4A4A"/>
        <w:sz w:val="16"/>
        <w:szCs w:val="16"/>
      </w:rPr>
      <w:t xml:space="preserve">Page </w:t>
    </w:r>
    <w:fldSimple w:instr="PAGE">
      <w:r>
        <w:rPr>
          <w:rFonts w:ascii="Arial" w:cs="Arial" w:eastAsia="Arial" w:hAnsi="Arial"/>
          <w:color w:val="1A6EA8"/>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3B6E" w:sz="6" w:space="2"/>
      </w:pBdr>
    </w:pPr>
    <w:r>
      <w:rPr>
        <w:rFonts w:ascii="Arial" w:cs="Arial" w:eastAsia="Arial" w:hAnsi="Arial"/>
        <w:color w:val="1A6EA8"/>
        <w:sz w:val="18"/>
        <w:szCs w:val="18"/>
      </w:rPr>
      <w:t xml:space="preserve">North, East &amp; Northeast India Inter-School Model United Nations 6.0 — Summer Edition  |  ITU  |  Background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D3B6E"/>
      <w:sz w:val="34"/>
      <w:szCs w:val="34"/>
    </w:rPr>
  </w:style>
  <w:style w:type="paragraph" w:styleId="Heading2">
    <w:name w:val="Heading 2"/>
    <w:basedOn w:val="Normal"/>
    <w:next w:val="Normal"/>
    <w:qFormat/>
    <w:pPr>
      <w:spacing w:after="100" w:before="280"/>
      <w:outlineLvl w:val="1"/>
    </w:pPr>
    <w:rPr>
      <w:rFonts w:ascii="Arial" w:cs="Arial" w:eastAsia="Arial" w:hAnsi="Arial"/>
      <w:b/>
      <w:bCs/>
      <w:color w:val="1A6EA8"/>
      <w:sz w:val="26"/>
      <w:szCs w:val="26"/>
    </w:rPr>
  </w:style>
  <w:style w:type="paragraph" w:styleId="Heading3">
    <w:name w:val="Heading 3"/>
    <w:basedOn w:val="Normal"/>
    <w:next w:val="Normal"/>
    <w:qFormat/>
    <w:pPr>
      <w:spacing w:after="80" w:before="180"/>
      <w:outlineLvl w:val="2"/>
    </w:pPr>
    <w:rPr>
      <w:rFonts w:ascii="Arial" w:cs="Arial" w:eastAsia="Arial" w:hAnsi="Arial"/>
      <w:b/>
      <w:bCs/>
      <w:color w:val="0A7E8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2026-06-24T10:46:06.293Z</dcterms:created>
  <dcterms:modified xsi:type="dcterms:W3CDTF">2026-06-24T10:46:06.305Z</dcterms:modified>
</cp:coreProperties>
</file>

<file path=docProps/custom.xml><?xml version="1.0" encoding="utf-8"?>
<Properties xmlns="http://schemas.openxmlformats.org/officeDocument/2006/custom-properties" xmlns:vt="http://schemas.openxmlformats.org/officeDocument/2006/docPropsVTypes"/>
</file>